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DBEE" w14:textId="77777777" w:rsidR="00484444" w:rsidRPr="00035A48" w:rsidRDefault="00484444" w:rsidP="008605FE">
      <w:pPr>
        <w:tabs>
          <w:tab w:val="center" w:pos="4513"/>
        </w:tabs>
        <w:suppressAutoHyphens/>
        <w:spacing w:after="0" w:line="240" w:lineRule="auto"/>
        <w:jc w:val="center"/>
        <w:rPr>
          <w:rFonts w:ascii="Arial" w:eastAsia="Times New Roman" w:hAnsi="Arial" w:cs="Times New Roman"/>
          <w:b/>
          <w:spacing w:val="-3"/>
          <w:sz w:val="32"/>
          <w:szCs w:val="32"/>
        </w:rPr>
      </w:pPr>
      <w:r w:rsidRPr="00035A48">
        <w:rPr>
          <w:rFonts w:ascii="Arial" w:eastAsia="Times New Roman" w:hAnsi="Arial" w:cs="Times New Roman"/>
          <w:b/>
          <w:spacing w:val="-3"/>
          <w:sz w:val="32"/>
          <w:szCs w:val="32"/>
        </w:rPr>
        <w:t>JOB DESCRIPTION</w:t>
      </w:r>
    </w:p>
    <w:p w14:paraId="64F218FE" w14:textId="77777777" w:rsidR="00484444" w:rsidRPr="00035A48" w:rsidRDefault="00484444" w:rsidP="008605FE">
      <w:pPr>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rPr>
          <w:rFonts w:ascii="Arial" w:eastAsia="Times New Roman" w:hAnsi="Arial" w:cs="Times New Roman"/>
          <w:b/>
          <w:spacing w:val="-2"/>
          <w:sz w:val="24"/>
          <w:szCs w:val="20"/>
        </w:rPr>
      </w:pPr>
    </w:p>
    <w:tbl>
      <w:tblPr>
        <w:tblW w:w="9356" w:type="dxa"/>
        <w:tblLook w:val="00A0" w:firstRow="1" w:lastRow="0" w:firstColumn="1" w:lastColumn="0" w:noHBand="0" w:noVBand="0"/>
      </w:tblPr>
      <w:tblGrid>
        <w:gridCol w:w="7230"/>
        <w:gridCol w:w="1842"/>
        <w:gridCol w:w="284"/>
      </w:tblGrid>
      <w:tr w:rsidR="00484444" w:rsidRPr="00035A48" w14:paraId="6D1A9383" w14:textId="77777777" w:rsidTr="00430E84">
        <w:tc>
          <w:tcPr>
            <w:tcW w:w="9072" w:type="dxa"/>
            <w:gridSpan w:val="2"/>
          </w:tcPr>
          <w:p w14:paraId="36B5B8D1" w14:textId="64968E1D" w:rsidR="00E41FB9" w:rsidRPr="00035A48" w:rsidRDefault="00484444" w:rsidP="00E41FB9">
            <w:pPr>
              <w:spacing w:before="120" w:after="120" w:line="240" w:lineRule="auto"/>
            </w:pPr>
            <w:r w:rsidRPr="00035A48">
              <w:rPr>
                <w:rFonts w:ascii="Arial" w:eastAsia="Times New Roman" w:hAnsi="Arial" w:cs="Times New Roman"/>
                <w:b/>
                <w:sz w:val="24"/>
                <w:szCs w:val="24"/>
              </w:rPr>
              <w:t>POST TITLE:</w:t>
            </w:r>
            <w:r w:rsidR="00E41FB9" w:rsidRPr="00035A48">
              <w:rPr>
                <w:rFonts w:ascii="Arial" w:eastAsia="Times New Roman" w:hAnsi="Arial" w:cs="Times New Roman"/>
                <w:b/>
                <w:sz w:val="24"/>
                <w:szCs w:val="24"/>
              </w:rPr>
              <w:t xml:space="preserve"> </w:t>
            </w:r>
            <w:r w:rsidR="00560542">
              <w:rPr>
                <w:rFonts w:ascii="Arial" w:eastAsia="Times New Roman" w:hAnsi="Arial" w:cs="Times New Roman"/>
                <w:bCs/>
                <w:sz w:val="24"/>
                <w:szCs w:val="24"/>
              </w:rPr>
              <w:t xml:space="preserve">Assistant Director, Corporate Facilities Management </w:t>
            </w:r>
            <w:r w:rsidR="00430E84">
              <w:rPr>
                <w:rFonts w:ascii="Arial" w:eastAsia="Times New Roman" w:hAnsi="Arial" w:cs="Times New Roman"/>
                <w:b/>
                <w:sz w:val="24"/>
                <w:szCs w:val="24"/>
              </w:rPr>
              <w:t xml:space="preserve"> </w:t>
            </w:r>
          </w:p>
        </w:tc>
        <w:tc>
          <w:tcPr>
            <w:tcW w:w="284" w:type="dxa"/>
          </w:tcPr>
          <w:p w14:paraId="747FFD05" w14:textId="6CACC88B" w:rsidR="00484444" w:rsidRPr="00035A48" w:rsidRDefault="00484444" w:rsidP="00260D89">
            <w:pPr>
              <w:spacing w:before="120" w:after="120" w:line="240" w:lineRule="auto"/>
              <w:rPr>
                <w:rFonts w:ascii="Arial" w:eastAsia="Times New Roman" w:hAnsi="Arial" w:cs="Times New Roman"/>
                <w:sz w:val="24"/>
                <w:szCs w:val="24"/>
              </w:rPr>
            </w:pPr>
          </w:p>
        </w:tc>
      </w:tr>
      <w:tr w:rsidR="00065D82" w:rsidRPr="00035A48" w14:paraId="24526660" w14:textId="77777777" w:rsidTr="00430E84">
        <w:tc>
          <w:tcPr>
            <w:tcW w:w="7230" w:type="dxa"/>
          </w:tcPr>
          <w:p w14:paraId="2F99FB9B" w14:textId="12FF8376" w:rsidR="00065D82" w:rsidRPr="00035A48" w:rsidRDefault="00065D82" w:rsidP="008605FE">
            <w:pPr>
              <w:spacing w:before="120" w:after="120" w:line="240" w:lineRule="auto"/>
              <w:rPr>
                <w:rFonts w:ascii="Arial" w:eastAsia="Times New Roman" w:hAnsi="Arial" w:cs="Times New Roman"/>
                <w:b/>
                <w:spacing w:val="-2"/>
                <w:sz w:val="24"/>
                <w:szCs w:val="20"/>
              </w:rPr>
            </w:pPr>
            <w:r w:rsidRPr="00035A48">
              <w:rPr>
                <w:rFonts w:ascii="Arial" w:eastAsia="Times New Roman" w:hAnsi="Arial" w:cs="Times New Roman"/>
                <w:b/>
                <w:spacing w:val="-2"/>
                <w:sz w:val="24"/>
                <w:szCs w:val="20"/>
              </w:rPr>
              <w:t>GRADE</w:t>
            </w:r>
            <w:r w:rsidR="00E41FB9" w:rsidRPr="00035A48">
              <w:rPr>
                <w:rFonts w:ascii="Arial" w:eastAsia="Times New Roman" w:hAnsi="Arial" w:cs="Times New Roman"/>
                <w:b/>
                <w:spacing w:val="-2"/>
                <w:sz w:val="24"/>
                <w:szCs w:val="20"/>
              </w:rPr>
              <w:t>:</w:t>
            </w:r>
            <w:r w:rsidR="00430E84">
              <w:rPr>
                <w:rFonts w:ascii="Arial" w:eastAsia="Times New Roman" w:hAnsi="Arial" w:cs="Times New Roman"/>
                <w:b/>
                <w:spacing w:val="-2"/>
                <w:sz w:val="24"/>
                <w:szCs w:val="20"/>
              </w:rPr>
              <w:t xml:space="preserve"> </w:t>
            </w:r>
            <w:r w:rsidR="00430E84" w:rsidRPr="00430E84">
              <w:rPr>
                <w:rFonts w:ascii="Arial" w:eastAsia="Times New Roman" w:hAnsi="Arial" w:cs="Times New Roman"/>
                <w:bCs/>
                <w:spacing w:val="-2"/>
                <w:sz w:val="24"/>
                <w:szCs w:val="20"/>
              </w:rPr>
              <w:t>1</w:t>
            </w:r>
            <w:r w:rsidR="00560542">
              <w:rPr>
                <w:rFonts w:ascii="Arial" w:eastAsia="Times New Roman" w:hAnsi="Arial" w:cs="Times New Roman"/>
                <w:bCs/>
                <w:spacing w:val="-2"/>
                <w:sz w:val="24"/>
                <w:szCs w:val="20"/>
              </w:rPr>
              <w:t>6</w:t>
            </w:r>
          </w:p>
        </w:tc>
        <w:tc>
          <w:tcPr>
            <w:tcW w:w="2126" w:type="dxa"/>
            <w:gridSpan w:val="2"/>
          </w:tcPr>
          <w:p w14:paraId="41563C41" w14:textId="05D75E52" w:rsidR="00065D82" w:rsidRPr="00035A48" w:rsidRDefault="00065D82" w:rsidP="00260D89">
            <w:pPr>
              <w:spacing w:before="100" w:beforeAutospacing="1" w:after="0" w:line="240" w:lineRule="auto"/>
              <w:rPr>
                <w:rFonts w:ascii="Arial" w:eastAsia="Times New Roman" w:hAnsi="Arial" w:cs="Times New Roman"/>
                <w:spacing w:val="-2"/>
                <w:sz w:val="24"/>
                <w:szCs w:val="24"/>
              </w:rPr>
            </w:pPr>
          </w:p>
        </w:tc>
      </w:tr>
      <w:tr w:rsidR="000F4DCC" w:rsidRPr="00035A48" w14:paraId="52B804C6" w14:textId="77777777" w:rsidTr="00430E84">
        <w:tc>
          <w:tcPr>
            <w:tcW w:w="7230" w:type="dxa"/>
          </w:tcPr>
          <w:p w14:paraId="082E45C6" w14:textId="3CDD2CEF" w:rsidR="000F4DCC" w:rsidRPr="00035A48" w:rsidRDefault="000F4DCC" w:rsidP="008605FE">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DIVISION / UNIT</w:t>
            </w:r>
            <w:r w:rsidR="00E41FB9" w:rsidRPr="00035A48">
              <w:rPr>
                <w:rFonts w:ascii="Arial" w:eastAsia="Times New Roman" w:hAnsi="Arial" w:cs="Times New Roman"/>
                <w:b/>
                <w:sz w:val="24"/>
                <w:szCs w:val="24"/>
              </w:rPr>
              <w:t xml:space="preserve">: </w:t>
            </w:r>
            <w:r w:rsidR="00560542">
              <w:rPr>
                <w:rFonts w:ascii="Arial" w:eastAsia="Times New Roman" w:hAnsi="Arial" w:cs="Times New Roman"/>
                <w:bCs/>
                <w:sz w:val="24"/>
                <w:szCs w:val="24"/>
              </w:rPr>
              <w:t>Governance &amp; Assurance</w:t>
            </w:r>
          </w:p>
        </w:tc>
        <w:tc>
          <w:tcPr>
            <w:tcW w:w="2126" w:type="dxa"/>
            <w:gridSpan w:val="2"/>
          </w:tcPr>
          <w:p w14:paraId="723768AF" w14:textId="3B967B33" w:rsidR="000F4DCC" w:rsidRPr="00035A48" w:rsidRDefault="000F4DCC" w:rsidP="00260D89">
            <w:pPr>
              <w:spacing w:before="100" w:beforeAutospacing="1" w:after="0" w:line="240" w:lineRule="auto"/>
              <w:rPr>
                <w:rFonts w:ascii="Arial" w:eastAsia="Times New Roman" w:hAnsi="Arial" w:cs="Arial"/>
                <w:sz w:val="24"/>
                <w:szCs w:val="24"/>
              </w:rPr>
            </w:pPr>
          </w:p>
        </w:tc>
      </w:tr>
      <w:tr w:rsidR="000F4DCC" w:rsidRPr="00035A48" w14:paraId="7260AEA3" w14:textId="77777777" w:rsidTr="00430E84">
        <w:tc>
          <w:tcPr>
            <w:tcW w:w="7230" w:type="dxa"/>
          </w:tcPr>
          <w:p w14:paraId="789BFBDD" w14:textId="5D94A217" w:rsidR="000F4DCC" w:rsidRPr="00035A48" w:rsidRDefault="000F4DCC" w:rsidP="008605FE">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DEPARTMENT</w:t>
            </w:r>
            <w:r w:rsidR="00430E84">
              <w:rPr>
                <w:rFonts w:ascii="Arial" w:eastAsia="Times New Roman" w:hAnsi="Arial" w:cs="Times New Roman"/>
                <w:b/>
                <w:sz w:val="24"/>
                <w:szCs w:val="24"/>
              </w:rPr>
              <w:t xml:space="preserve">: </w:t>
            </w:r>
            <w:r w:rsidR="00560542" w:rsidRPr="00560542">
              <w:rPr>
                <w:rFonts w:ascii="Arial" w:eastAsia="Times New Roman" w:hAnsi="Arial" w:cs="Times New Roman"/>
                <w:bCs/>
                <w:sz w:val="24"/>
                <w:szCs w:val="24"/>
              </w:rPr>
              <w:t>People</w:t>
            </w:r>
            <w:r w:rsidR="00F24988">
              <w:rPr>
                <w:rFonts w:ascii="Arial" w:eastAsia="Times New Roman" w:hAnsi="Arial" w:cs="Times New Roman"/>
                <w:bCs/>
                <w:sz w:val="24"/>
                <w:szCs w:val="24"/>
              </w:rPr>
              <w:t xml:space="preserve"> and Organisational Development</w:t>
            </w:r>
          </w:p>
        </w:tc>
        <w:tc>
          <w:tcPr>
            <w:tcW w:w="2126" w:type="dxa"/>
            <w:gridSpan w:val="2"/>
          </w:tcPr>
          <w:p w14:paraId="131A489F" w14:textId="1701335D" w:rsidR="000F4DCC" w:rsidRPr="00035A48" w:rsidRDefault="000F4DCC" w:rsidP="00585289">
            <w:pPr>
              <w:spacing w:before="120" w:after="120" w:line="240" w:lineRule="auto"/>
              <w:rPr>
                <w:rFonts w:ascii="Arial" w:eastAsia="Times New Roman" w:hAnsi="Arial" w:cs="Arial"/>
                <w:sz w:val="24"/>
                <w:szCs w:val="24"/>
              </w:rPr>
            </w:pPr>
          </w:p>
        </w:tc>
      </w:tr>
      <w:tr w:rsidR="000F4DCC" w:rsidRPr="00035A48" w14:paraId="4BE28DEA" w14:textId="77777777" w:rsidTr="00430E84">
        <w:tc>
          <w:tcPr>
            <w:tcW w:w="7230" w:type="dxa"/>
          </w:tcPr>
          <w:p w14:paraId="021889DF" w14:textId="6F3056DA" w:rsidR="000F4DCC" w:rsidRPr="00035A48" w:rsidRDefault="000F4DCC" w:rsidP="008605FE">
            <w:pPr>
              <w:spacing w:before="120" w:after="120" w:line="240" w:lineRule="auto"/>
              <w:rPr>
                <w:rFonts w:ascii="Arial" w:eastAsia="Times New Roman" w:hAnsi="Arial" w:cs="Times New Roman"/>
                <w:b/>
                <w:sz w:val="24"/>
                <w:szCs w:val="24"/>
              </w:rPr>
            </w:pPr>
            <w:r w:rsidRPr="00E11EAD">
              <w:rPr>
                <w:rFonts w:ascii="Arial" w:eastAsia="Times New Roman" w:hAnsi="Arial" w:cs="Times New Roman"/>
                <w:b/>
                <w:sz w:val="24"/>
                <w:szCs w:val="24"/>
              </w:rPr>
              <w:t>REPORTS TO:</w:t>
            </w:r>
            <w:r w:rsidR="00430E84">
              <w:rPr>
                <w:rFonts w:ascii="Arial" w:eastAsia="Times New Roman" w:hAnsi="Arial" w:cs="Times New Roman"/>
                <w:b/>
                <w:sz w:val="24"/>
                <w:szCs w:val="24"/>
              </w:rPr>
              <w:t xml:space="preserve"> </w:t>
            </w:r>
            <w:r w:rsidR="00560542">
              <w:rPr>
                <w:rFonts w:ascii="Arial" w:eastAsia="Times New Roman" w:hAnsi="Arial" w:cs="Times New Roman"/>
                <w:bCs/>
                <w:sz w:val="24"/>
                <w:szCs w:val="24"/>
              </w:rPr>
              <w:t>Director of People</w:t>
            </w:r>
            <w:r w:rsidR="00F24988">
              <w:rPr>
                <w:rFonts w:ascii="Arial" w:eastAsia="Times New Roman" w:hAnsi="Arial" w:cs="Times New Roman"/>
                <w:bCs/>
                <w:sz w:val="24"/>
                <w:szCs w:val="24"/>
              </w:rPr>
              <w:t xml:space="preserve"> and Organisational Development</w:t>
            </w:r>
          </w:p>
        </w:tc>
        <w:tc>
          <w:tcPr>
            <w:tcW w:w="2126" w:type="dxa"/>
            <w:gridSpan w:val="2"/>
          </w:tcPr>
          <w:p w14:paraId="026DDDCC" w14:textId="241C367A" w:rsidR="000F4DCC" w:rsidRPr="00035A48" w:rsidRDefault="000F4DCC" w:rsidP="00260D89">
            <w:pPr>
              <w:spacing w:before="120" w:after="120" w:line="240" w:lineRule="auto"/>
              <w:rPr>
                <w:rFonts w:ascii="Arial" w:eastAsia="Times New Roman" w:hAnsi="Arial" w:cs="Times New Roman"/>
                <w:sz w:val="24"/>
                <w:szCs w:val="24"/>
              </w:rPr>
            </w:pPr>
          </w:p>
        </w:tc>
      </w:tr>
    </w:tbl>
    <w:p w14:paraId="4D6B1A53" w14:textId="77777777" w:rsidR="00484444" w:rsidRPr="00035A48" w:rsidRDefault="00484444" w:rsidP="008605FE">
      <w:pPr>
        <w:spacing w:after="0" w:line="240" w:lineRule="auto"/>
        <w:rPr>
          <w:rFonts w:ascii="Arial" w:eastAsia="Times New Roman" w:hAnsi="Arial" w:cs="Arial"/>
          <w:b/>
          <w:bCs/>
          <w:sz w:val="24"/>
          <w:szCs w:val="20"/>
        </w:rPr>
      </w:pPr>
    </w:p>
    <w:p w14:paraId="20DDCFED" w14:textId="77777777" w:rsidR="00260D89" w:rsidRPr="00035A48" w:rsidRDefault="00260D89" w:rsidP="008605FE">
      <w:pPr>
        <w:spacing w:after="0" w:line="240" w:lineRule="auto"/>
        <w:rPr>
          <w:rFonts w:ascii="Arial" w:eastAsia="Times New Roman" w:hAnsi="Arial" w:cs="Arial"/>
          <w:b/>
          <w:bCs/>
          <w:sz w:val="24"/>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51"/>
      </w:tblGrid>
      <w:tr w:rsidR="00484444" w:rsidRPr="00035A48" w14:paraId="2563B439" w14:textId="77777777" w:rsidTr="00E507E9">
        <w:tc>
          <w:tcPr>
            <w:tcW w:w="9351" w:type="dxa"/>
            <w:shd w:val="clear" w:color="auto" w:fill="FFFFFF" w:themeFill="background1"/>
          </w:tcPr>
          <w:p w14:paraId="787E6E8B" w14:textId="77777777" w:rsidR="00484444" w:rsidRPr="00035A48" w:rsidRDefault="00DD058E" w:rsidP="008605FE">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PURPOSE OF THE JOB</w:t>
            </w:r>
          </w:p>
        </w:tc>
      </w:tr>
    </w:tbl>
    <w:p w14:paraId="7D05AD92" w14:textId="77777777" w:rsidR="00484444" w:rsidRPr="00035A48" w:rsidRDefault="00484444" w:rsidP="008605FE">
      <w:pPr>
        <w:spacing w:after="0" w:line="240" w:lineRule="auto"/>
        <w:rPr>
          <w:rFonts w:ascii="Arial" w:eastAsia="Times New Roman" w:hAnsi="Arial" w:cs="Times New Roman"/>
          <w:szCs w:val="20"/>
        </w:rPr>
      </w:pPr>
    </w:p>
    <w:p w14:paraId="2885C9AD" w14:textId="245F9022" w:rsidR="00AF4870" w:rsidRDefault="00560542" w:rsidP="00780C91">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To lead the strategic and operational delivery of all </w:t>
      </w:r>
      <w:r w:rsidR="00B54549">
        <w:rPr>
          <w:rFonts w:ascii="Arial" w:eastAsia="Times New Roman" w:hAnsi="Arial" w:cs="Times New Roman"/>
          <w:sz w:val="24"/>
          <w:szCs w:val="24"/>
        </w:rPr>
        <w:t>facilities management</w:t>
      </w:r>
      <w:r>
        <w:rPr>
          <w:rFonts w:ascii="Arial" w:eastAsia="Times New Roman" w:hAnsi="Arial" w:cs="Times New Roman"/>
          <w:sz w:val="24"/>
          <w:szCs w:val="24"/>
        </w:rPr>
        <w:t xml:space="preserve"> services across </w:t>
      </w:r>
      <w:r w:rsidR="00AF4870">
        <w:rPr>
          <w:rFonts w:ascii="Arial" w:eastAsia="Times New Roman" w:hAnsi="Arial" w:cs="Times New Roman"/>
          <w:sz w:val="24"/>
          <w:szCs w:val="24"/>
        </w:rPr>
        <w:t xml:space="preserve">Southwark’s </w:t>
      </w:r>
      <w:r w:rsidR="00D26614">
        <w:rPr>
          <w:rFonts w:ascii="Arial" w:eastAsia="Times New Roman" w:hAnsi="Arial" w:cs="Times New Roman"/>
          <w:sz w:val="24"/>
          <w:szCs w:val="24"/>
        </w:rPr>
        <w:t>corporate property portfolio</w:t>
      </w:r>
      <w:r>
        <w:rPr>
          <w:rFonts w:ascii="Arial" w:eastAsia="Times New Roman" w:hAnsi="Arial" w:cs="Times New Roman"/>
          <w:sz w:val="24"/>
          <w:szCs w:val="24"/>
        </w:rPr>
        <w:t xml:space="preserve">. </w:t>
      </w:r>
      <w:r w:rsidR="00AF4870">
        <w:rPr>
          <w:rFonts w:ascii="Arial" w:eastAsia="Times New Roman" w:hAnsi="Arial" w:cs="Times New Roman"/>
          <w:sz w:val="24"/>
          <w:szCs w:val="24"/>
        </w:rPr>
        <w:t xml:space="preserve">This includes shaping the council’s estate strategy, ensuring legal compliance, driving health and safety culture, and delivering transformational </w:t>
      </w:r>
      <w:r w:rsidR="00510CA6">
        <w:rPr>
          <w:rFonts w:ascii="Arial" w:eastAsia="Times New Roman" w:hAnsi="Arial" w:cs="Times New Roman"/>
          <w:sz w:val="24"/>
          <w:szCs w:val="24"/>
        </w:rPr>
        <w:t>programmes aligned</w:t>
      </w:r>
      <w:r w:rsidR="00AF4870">
        <w:rPr>
          <w:rFonts w:ascii="Arial" w:eastAsia="Times New Roman" w:hAnsi="Arial" w:cs="Times New Roman"/>
          <w:sz w:val="24"/>
          <w:szCs w:val="24"/>
        </w:rPr>
        <w:t xml:space="preserve"> to Southwark 2030 – </w:t>
      </w:r>
      <w:r w:rsidR="00F24988">
        <w:rPr>
          <w:rFonts w:ascii="Arial" w:eastAsia="Times New Roman" w:hAnsi="Arial" w:cs="Times New Roman"/>
          <w:sz w:val="24"/>
          <w:szCs w:val="24"/>
        </w:rPr>
        <w:t xml:space="preserve">our </w:t>
      </w:r>
      <w:r w:rsidR="00AF4870">
        <w:rPr>
          <w:rFonts w:ascii="Arial" w:eastAsia="Times New Roman" w:hAnsi="Arial" w:cs="Times New Roman"/>
          <w:sz w:val="24"/>
          <w:szCs w:val="24"/>
        </w:rPr>
        <w:t xml:space="preserve">borough wide vision for a </w:t>
      </w:r>
      <w:r w:rsidR="00F24988">
        <w:rPr>
          <w:rFonts w:ascii="Arial" w:eastAsia="Times New Roman" w:hAnsi="Arial" w:cs="Times New Roman"/>
          <w:sz w:val="24"/>
          <w:szCs w:val="24"/>
        </w:rPr>
        <w:t>fair, green and safe</w:t>
      </w:r>
      <w:r w:rsidR="00AF4870">
        <w:rPr>
          <w:rFonts w:ascii="Arial" w:eastAsia="Times New Roman" w:hAnsi="Arial" w:cs="Times New Roman"/>
          <w:sz w:val="24"/>
          <w:szCs w:val="24"/>
        </w:rPr>
        <w:t xml:space="preserve"> borough. </w:t>
      </w:r>
    </w:p>
    <w:p w14:paraId="503E442A" w14:textId="77777777" w:rsidR="00510CA6" w:rsidRDefault="00510CA6" w:rsidP="00780C91">
      <w:pPr>
        <w:spacing w:after="0" w:line="240" w:lineRule="auto"/>
        <w:jc w:val="both"/>
        <w:rPr>
          <w:rFonts w:ascii="Arial" w:eastAsia="Times New Roman" w:hAnsi="Arial"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85"/>
      </w:tblGrid>
      <w:tr w:rsidR="00484444" w:rsidRPr="00035A48" w14:paraId="4D24D50D" w14:textId="77777777" w:rsidTr="00E507E9">
        <w:trPr>
          <w:trHeight w:val="117"/>
        </w:trPr>
        <w:tc>
          <w:tcPr>
            <w:tcW w:w="9385" w:type="dxa"/>
            <w:shd w:val="clear" w:color="auto" w:fill="FFFFFF" w:themeFill="background1"/>
          </w:tcPr>
          <w:p w14:paraId="6CEFF8B3" w14:textId="77777777" w:rsidR="00484444" w:rsidRPr="00035A48" w:rsidRDefault="00DD058E" w:rsidP="008605FE">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PRINCIPAL ACCOUNTABILITIES</w:t>
            </w:r>
          </w:p>
        </w:tc>
      </w:tr>
    </w:tbl>
    <w:p w14:paraId="190E2E77" w14:textId="77777777" w:rsidR="00484444" w:rsidRPr="00035A48" w:rsidRDefault="00484444" w:rsidP="008605FE">
      <w:pPr>
        <w:tabs>
          <w:tab w:val="left" w:pos="360"/>
          <w:tab w:val="left" w:pos="1843"/>
        </w:tabs>
        <w:spacing w:after="0" w:line="240" w:lineRule="auto"/>
        <w:rPr>
          <w:rFonts w:ascii="Arial" w:eastAsia="Times New Roman" w:hAnsi="Arial" w:cs="Arial"/>
          <w:sz w:val="24"/>
          <w:szCs w:val="24"/>
        </w:rPr>
      </w:pPr>
    </w:p>
    <w:p w14:paraId="604205B3" w14:textId="77777777" w:rsidR="00C54BD0" w:rsidRDefault="00C54BD0"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Provide strategic and operational leadership for the council’s facilities management service, ensuring effective planning and deployment of resources to support high quality service delivery. </w:t>
      </w:r>
    </w:p>
    <w:p w14:paraId="6239B953" w14:textId="33182633" w:rsidR="0041230B" w:rsidRDefault="00C54BD0"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Lead the design and implementation of a </w:t>
      </w:r>
      <w:proofErr w:type="gramStart"/>
      <w:r w:rsidR="006212DF">
        <w:rPr>
          <w:rFonts w:ascii="Arial" w:eastAsia="Times New Roman" w:hAnsi="Arial" w:cs="Times New Roman"/>
          <w:sz w:val="24"/>
          <w:szCs w:val="24"/>
        </w:rPr>
        <w:t>long term</w:t>
      </w:r>
      <w:proofErr w:type="gramEnd"/>
      <w:r w:rsidR="006212DF">
        <w:rPr>
          <w:rFonts w:ascii="Arial" w:eastAsia="Times New Roman" w:hAnsi="Arial" w:cs="Times New Roman"/>
          <w:sz w:val="24"/>
          <w:szCs w:val="24"/>
        </w:rPr>
        <w:t xml:space="preserve"> procurement and contract str</w:t>
      </w:r>
      <w:r w:rsidR="00B73200">
        <w:rPr>
          <w:rFonts w:ascii="Arial" w:eastAsia="Times New Roman" w:hAnsi="Arial" w:cs="Times New Roman"/>
          <w:sz w:val="24"/>
          <w:szCs w:val="24"/>
        </w:rPr>
        <w:t xml:space="preserve">ategy for Corporate </w:t>
      </w:r>
      <w:r w:rsidR="0041230B">
        <w:rPr>
          <w:rFonts w:ascii="Arial" w:eastAsia="Times New Roman" w:hAnsi="Arial" w:cs="Times New Roman"/>
          <w:sz w:val="24"/>
          <w:szCs w:val="24"/>
        </w:rPr>
        <w:t>Facilities</w:t>
      </w:r>
      <w:r w:rsidR="00B73200">
        <w:rPr>
          <w:rFonts w:ascii="Arial" w:eastAsia="Times New Roman" w:hAnsi="Arial" w:cs="Times New Roman"/>
          <w:sz w:val="24"/>
          <w:szCs w:val="24"/>
        </w:rPr>
        <w:t xml:space="preserve"> Management, translating national policy and council priorities into </w:t>
      </w:r>
      <w:r w:rsidR="0041230B">
        <w:rPr>
          <w:rFonts w:ascii="Arial" w:eastAsia="Times New Roman" w:hAnsi="Arial" w:cs="Times New Roman"/>
          <w:sz w:val="24"/>
          <w:szCs w:val="24"/>
        </w:rPr>
        <w:t>practical</w:t>
      </w:r>
      <w:r w:rsidR="00B73200">
        <w:rPr>
          <w:rFonts w:ascii="Arial" w:eastAsia="Times New Roman" w:hAnsi="Arial" w:cs="Times New Roman"/>
          <w:sz w:val="24"/>
          <w:szCs w:val="24"/>
        </w:rPr>
        <w:t xml:space="preserve"> outcome-focused delivery plans that support </w:t>
      </w:r>
      <w:r w:rsidR="0041230B">
        <w:rPr>
          <w:rFonts w:ascii="Arial" w:eastAsia="Times New Roman" w:hAnsi="Arial" w:cs="Times New Roman"/>
          <w:sz w:val="24"/>
          <w:szCs w:val="24"/>
        </w:rPr>
        <w:t xml:space="preserve">a comprehensive FM service model. </w:t>
      </w:r>
    </w:p>
    <w:p w14:paraId="44EECA3B" w14:textId="3E228C44" w:rsidR="0041230B" w:rsidRDefault="0041230B"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Develop and implement strategic and operational plans to maximise estate efficiency, ensuring FM services are delivered effectively, sustainably and </w:t>
      </w:r>
      <w:r w:rsidR="00244C8E">
        <w:rPr>
          <w:rFonts w:ascii="Arial" w:eastAsia="Times New Roman" w:hAnsi="Arial" w:cs="Times New Roman"/>
          <w:sz w:val="24"/>
          <w:szCs w:val="24"/>
        </w:rPr>
        <w:t xml:space="preserve">with a strong focus on value for money. </w:t>
      </w:r>
    </w:p>
    <w:p w14:paraId="1D97A73D" w14:textId="4770EF73" w:rsidR="00244C8E" w:rsidRDefault="00244C8E"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Oversee the planning and delivery of complex, high-profile capital and maintenance projects across the council’s property </w:t>
      </w:r>
      <w:r w:rsidR="008F19F1">
        <w:rPr>
          <w:rFonts w:ascii="Arial" w:eastAsia="Times New Roman" w:hAnsi="Arial" w:cs="Times New Roman"/>
          <w:sz w:val="24"/>
          <w:szCs w:val="24"/>
        </w:rPr>
        <w:t xml:space="preserve">portfolio, ensuring programmes are well-managed, risk </w:t>
      </w:r>
      <w:r w:rsidR="002468D3">
        <w:rPr>
          <w:rFonts w:ascii="Arial" w:eastAsia="Times New Roman" w:hAnsi="Arial" w:cs="Times New Roman"/>
          <w:sz w:val="24"/>
          <w:szCs w:val="24"/>
        </w:rPr>
        <w:t>assessed</w:t>
      </w:r>
      <w:r w:rsidR="008F19F1">
        <w:rPr>
          <w:rFonts w:ascii="Arial" w:eastAsia="Times New Roman" w:hAnsi="Arial" w:cs="Times New Roman"/>
          <w:sz w:val="24"/>
          <w:szCs w:val="24"/>
        </w:rPr>
        <w:t xml:space="preserve">, and aligned to corporate priorities. </w:t>
      </w:r>
    </w:p>
    <w:p w14:paraId="2C1EF828" w14:textId="4192B1F9" w:rsidR="008F19F1" w:rsidRDefault="002468D3"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Ensure all FM services, systems, and performance frameworks are in place and operating effectively, meeting agreed targets and remaining compliant with legal, regulatory and corporate requirements. </w:t>
      </w:r>
    </w:p>
    <w:p w14:paraId="43EC43DE" w14:textId="0EC9EACF" w:rsidR="002468D3" w:rsidRDefault="00BD21ED"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Build and maintain strong relationships with internal and external stakeholders, using these partnerships to drive service improvement</w:t>
      </w:r>
      <w:r w:rsidR="0043353D">
        <w:rPr>
          <w:rFonts w:ascii="Arial" w:eastAsia="Times New Roman" w:hAnsi="Arial" w:cs="Times New Roman"/>
          <w:sz w:val="24"/>
          <w:szCs w:val="24"/>
        </w:rPr>
        <w:t xml:space="preserve"> and assess the division’s capacity to deliver both transformational and day-to-day change. </w:t>
      </w:r>
    </w:p>
    <w:p w14:paraId="3A10E2A0" w14:textId="061B379F" w:rsidR="0043353D" w:rsidRDefault="0043353D"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lastRenderedPageBreak/>
        <w:t>Lead the development and management of the FM revenue budget, ensuring services are delivered within budget and contribute to the council’s wider savings targets</w:t>
      </w:r>
      <w:r w:rsidR="007929EA">
        <w:rPr>
          <w:rFonts w:ascii="Arial" w:eastAsia="Times New Roman" w:hAnsi="Arial" w:cs="Times New Roman"/>
          <w:sz w:val="24"/>
          <w:szCs w:val="24"/>
        </w:rPr>
        <w:t xml:space="preserve">. Overseeing and monitoring capital investment in the corporate estate, including planned maintenance and compliance </w:t>
      </w:r>
      <w:r w:rsidR="00A40CEC">
        <w:rPr>
          <w:rFonts w:ascii="Arial" w:eastAsia="Times New Roman" w:hAnsi="Arial" w:cs="Times New Roman"/>
          <w:sz w:val="24"/>
          <w:szCs w:val="24"/>
        </w:rPr>
        <w:t>programmes</w:t>
      </w:r>
      <w:r w:rsidR="007929EA">
        <w:rPr>
          <w:rFonts w:ascii="Arial" w:eastAsia="Times New Roman" w:hAnsi="Arial" w:cs="Times New Roman"/>
          <w:sz w:val="24"/>
          <w:szCs w:val="24"/>
        </w:rPr>
        <w:t xml:space="preserve">. </w:t>
      </w:r>
    </w:p>
    <w:p w14:paraId="24201E54" w14:textId="01293BAD" w:rsidR="007929EA" w:rsidRDefault="007929EA"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Provide expert advice </w:t>
      </w:r>
      <w:r w:rsidR="00DD486A">
        <w:rPr>
          <w:rFonts w:ascii="Arial" w:eastAsia="Times New Roman" w:hAnsi="Arial" w:cs="Times New Roman"/>
          <w:sz w:val="24"/>
          <w:szCs w:val="24"/>
        </w:rPr>
        <w:t xml:space="preserve">and high-quality reports to the </w:t>
      </w:r>
      <w:r w:rsidR="00F24988">
        <w:rPr>
          <w:rFonts w:ascii="Arial" w:eastAsia="Times New Roman" w:hAnsi="Arial" w:cs="Times New Roman"/>
          <w:sz w:val="24"/>
          <w:szCs w:val="24"/>
        </w:rPr>
        <w:t>C</w:t>
      </w:r>
      <w:r w:rsidR="00DD486A">
        <w:rPr>
          <w:rFonts w:ascii="Arial" w:eastAsia="Times New Roman" w:hAnsi="Arial" w:cs="Times New Roman"/>
          <w:sz w:val="24"/>
          <w:szCs w:val="24"/>
        </w:rPr>
        <w:t>hief Executive, Cabinet and senior leadership, contributing to the development of policy and strategy for c</w:t>
      </w:r>
      <w:r w:rsidR="00173568">
        <w:rPr>
          <w:rFonts w:ascii="Arial" w:eastAsia="Times New Roman" w:hAnsi="Arial" w:cs="Times New Roman"/>
          <w:sz w:val="24"/>
          <w:szCs w:val="24"/>
        </w:rPr>
        <w:t xml:space="preserve">orporate property management and related FM matters. </w:t>
      </w:r>
    </w:p>
    <w:p w14:paraId="685863F1" w14:textId="27C35DEE" w:rsidR="00173568" w:rsidRDefault="00173568" w:rsidP="00A45D63">
      <w:pPr>
        <w:pStyle w:val="ListParagraph"/>
        <w:numPr>
          <w:ilvl w:val="0"/>
          <w:numId w:val="16"/>
        </w:numPr>
        <w:spacing w:after="0" w:line="240" w:lineRule="auto"/>
        <w:rPr>
          <w:rFonts w:ascii="Arial" w:eastAsia="Times New Roman" w:hAnsi="Arial" w:cs="Times New Roman"/>
          <w:sz w:val="24"/>
          <w:szCs w:val="24"/>
        </w:rPr>
      </w:pPr>
      <w:r>
        <w:rPr>
          <w:rFonts w:ascii="Arial" w:eastAsia="Times New Roman" w:hAnsi="Arial" w:cs="Times New Roman"/>
          <w:sz w:val="24"/>
          <w:szCs w:val="24"/>
        </w:rPr>
        <w:t>Embed robust service controls and strengthen the council’s intelligent client function, ensuring FM services and outsourcing arrangements</w:t>
      </w:r>
      <w:r w:rsidR="00F20D91">
        <w:rPr>
          <w:rFonts w:ascii="Arial" w:eastAsia="Times New Roman" w:hAnsi="Arial" w:cs="Times New Roman"/>
          <w:sz w:val="24"/>
          <w:szCs w:val="24"/>
        </w:rPr>
        <w:t xml:space="preserve"> are </w:t>
      </w:r>
      <w:r w:rsidR="00A40CEC">
        <w:rPr>
          <w:rFonts w:ascii="Arial" w:eastAsia="Times New Roman" w:hAnsi="Arial" w:cs="Times New Roman"/>
          <w:sz w:val="24"/>
          <w:szCs w:val="24"/>
        </w:rPr>
        <w:t>proactively</w:t>
      </w:r>
      <w:r w:rsidR="00F20D91">
        <w:rPr>
          <w:rFonts w:ascii="Arial" w:eastAsia="Times New Roman" w:hAnsi="Arial" w:cs="Times New Roman"/>
          <w:sz w:val="24"/>
          <w:szCs w:val="24"/>
        </w:rPr>
        <w:t xml:space="preserve"> managed and grounded with a clear understanding of end-to-end service delivery. </w:t>
      </w:r>
    </w:p>
    <w:p w14:paraId="069DC421" w14:textId="64551ABF" w:rsidR="005566AB" w:rsidRPr="00A40CEC" w:rsidRDefault="005566AB" w:rsidP="00A40CEC">
      <w:pPr>
        <w:spacing w:after="0" w:line="240" w:lineRule="auto"/>
        <w:ind w:left="360"/>
        <w:rPr>
          <w:rFonts w:ascii="Arial" w:eastAsia="Times New Roman" w:hAnsi="Arial" w:cs="Times New Roman"/>
          <w:sz w:val="24"/>
          <w:szCs w:val="24"/>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101"/>
      </w:tblGrid>
      <w:tr w:rsidR="00850511" w:rsidRPr="00035A48" w14:paraId="66BD99E3" w14:textId="77777777" w:rsidTr="00E507E9">
        <w:trPr>
          <w:trHeight w:val="117"/>
        </w:trPr>
        <w:tc>
          <w:tcPr>
            <w:tcW w:w="9101" w:type="dxa"/>
            <w:shd w:val="clear" w:color="auto" w:fill="FFFFFF" w:themeFill="background1"/>
          </w:tcPr>
          <w:p w14:paraId="220CF91D" w14:textId="77777777" w:rsidR="00850511" w:rsidRPr="00035A48" w:rsidRDefault="00850511" w:rsidP="00537B5A">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lastRenderedPageBreak/>
              <w:t>JOB CONTEXT</w:t>
            </w:r>
          </w:p>
        </w:tc>
      </w:tr>
    </w:tbl>
    <w:p w14:paraId="52AC6B9D" w14:textId="77777777" w:rsidR="00C01548" w:rsidRDefault="00C01548" w:rsidP="00577073">
      <w:pPr>
        <w:keepNext/>
        <w:keepLines/>
        <w:jc w:val="both"/>
        <w:rPr>
          <w:rFonts w:ascii="Arial" w:hAnsi="Arial" w:cs="Arial"/>
          <w:b/>
          <w:sz w:val="24"/>
          <w:szCs w:val="24"/>
          <w:highlight w:val="yellow"/>
        </w:rPr>
      </w:pPr>
    </w:p>
    <w:p w14:paraId="15EACC34" w14:textId="2FEFF9B0" w:rsidR="007F7697" w:rsidRDefault="00426A25" w:rsidP="00577073">
      <w:pPr>
        <w:keepNext/>
        <w:keepLines/>
        <w:jc w:val="both"/>
        <w:rPr>
          <w:rFonts w:ascii="Arial" w:hAnsi="Arial" w:cs="Arial"/>
          <w:bCs/>
          <w:sz w:val="24"/>
          <w:szCs w:val="24"/>
        </w:rPr>
      </w:pPr>
      <w:r>
        <w:rPr>
          <w:rFonts w:ascii="Arial" w:hAnsi="Arial" w:cs="Arial"/>
          <w:bCs/>
          <w:sz w:val="24"/>
          <w:szCs w:val="24"/>
        </w:rPr>
        <w:t>This role reports directly to the Director of People</w:t>
      </w:r>
      <w:r w:rsidR="00F24988">
        <w:rPr>
          <w:rFonts w:ascii="Arial" w:hAnsi="Arial" w:cs="Arial"/>
          <w:bCs/>
          <w:sz w:val="24"/>
          <w:szCs w:val="24"/>
        </w:rPr>
        <w:t xml:space="preserve"> and Organisational Development</w:t>
      </w:r>
      <w:r w:rsidR="00B607B5">
        <w:rPr>
          <w:rFonts w:ascii="Arial" w:hAnsi="Arial" w:cs="Arial"/>
          <w:bCs/>
          <w:sz w:val="24"/>
          <w:szCs w:val="24"/>
        </w:rPr>
        <w:t xml:space="preserve"> and is supported by a leadership team consisting of four direct reports.</w:t>
      </w:r>
    </w:p>
    <w:p w14:paraId="2B4F6DD0" w14:textId="244AA8C9" w:rsidR="00B607B5" w:rsidRDefault="00B607B5" w:rsidP="00577073">
      <w:pPr>
        <w:keepNext/>
        <w:keepLines/>
        <w:jc w:val="both"/>
        <w:rPr>
          <w:rFonts w:ascii="Arial" w:hAnsi="Arial" w:cs="Arial"/>
          <w:bCs/>
          <w:sz w:val="24"/>
          <w:szCs w:val="24"/>
        </w:rPr>
      </w:pPr>
      <w:r>
        <w:rPr>
          <w:rFonts w:ascii="Arial" w:hAnsi="Arial" w:cs="Arial"/>
          <w:bCs/>
          <w:sz w:val="24"/>
          <w:szCs w:val="24"/>
        </w:rPr>
        <w:t xml:space="preserve">The Corporate Facilities Management (CFM) service delivers a centralised </w:t>
      </w:r>
      <w:r w:rsidR="0002122E">
        <w:rPr>
          <w:rFonts w:ascii="Arial" w:hAnsi="Arial" w:cs="Arial"/>
          <w:bCs/>
          <w:sz w:val="24"/>
          <w:szCs w:val="24"/>
        </w:rPr>
        <w:t>facilities</w:t>
      </w:r>
      <w:r>
        <w:rPr>
          <w:rFonts w:ascii="Arial" w:hAnsi="Arial" w:cs="Arial"/>
          <w:bCs/>
          <w:sz w:val="24"/>
          <w:szCs w:val="24"/>
        </w:rPr>
        <w:t xml:space="preserve"> management function, playing a key role in supporting over </w:t>
      </w:r>
      <w:r w:rsidR="00F24988">
        <w:rPr>
          <w:rFonts w:ascii="Arial" w:hAnsi="Arial" w:cs="Arial"/>
          <w:bCs/>
          <w:sz w:val="24"/>
          <w:szCs w:val="24"/>
        </w:rPr>
        <w:t>5</w:t>
      </w:r>
      <w:r>
        <w:rPr>
          <w:rFonts w:ascii="Arial" w:hAnsi="Arial" w:cs="Arial"/>
          <w:bCs/>
          <w:sz w:val="24"/>
          <w:szCs w:val="24"/>
        </w:rPr>
        <w:t xml:space="preserve">,000 council staff in the effective use of property assets to enable high-quality, responsive, frontline services. </w:t>
      </w:r>
    </w:p>
    <w:p w14:paraId="03BF1E61" w14:textId="3E5A0D44" w:rsidR="00B607B5" w:rsidRDefault="00B607B5" w:rsidP="00577073">
      <w:pPr>
        <w:keepNext/>
        <w:keepLines/>
        <w:jc w:val="both"/>
        <w:rPr>
          <w:rFonts w:ascii="Arial" w:hAnsi="Arial" w:cs="Arial"/>
          <w:bCs/>
          <w:sz w:val="24"/>
          <w:szCs w:val="24"/>
        </w:rPr>
      </w:pPr>
      <w:r>
        <w:rPr>
          <w:rFonts w:ascii="Arial" w:hAnsi="Arial" w:cs="Arial"/>
          <w:bCs/>
          <w:sz w:val="24"/>
          <w:szCs w:val="24"/>
        </w:rPr>
        <w:t xml:space="preserve">The service is a key enabler of Southwark’s strategic goals and transformation agenda. </w:t>
      </w:r>
    </w:p>
    <w:p w14:paraId="14CE52EF" w14:textId="30CECF7A" w:rsidR="00DF134A" w:rsidRDefault="00F24988" w:rsidP="004C3C8D">
      <w:pPr>
        <w:keepNext/>
        <w:keepLines/>
        <w:jc w:val="both"/>
        <w:rPr>
          <w:rFonts w:ascii="Arial" w:hAnsi="Arial" w:cs="Arial"/>
          <w:bCs/>
          <w:sz w:val="24"/>
          <w:szCs w:val="24"/>
        </w:rPr>
      </w:pPr>
      <w:r>
        <w:rPr>
          <w:rFonts w:ascii="Arial" w:hAnsi="Arial" w:cs="Arial"/>
          <w:bCs/>
          <w:sz w:val="24"/>
          <w:szCs w:val="24"/>
        </w:rPr>
        <w:t>The CFM portfolio</w:t>
      </w:r>
      <w:r w:rsidR="00B607B5">
        <w:rPr>
          <w:rFonts w:ascii="Arial" w:hAnsi="Arial" w:cs="Arial"/>
          <w:bCs/>
          <w:sz w:val="24"/>
          <w:szCs w:val="24"/>
        </w:rPr>
        <w:t xml:space="preserve"> includes</w:t>
      </w:r>
      <w:r>
        <w:rPr>
          <w:rFonts w:ascii="Arial" w:hAnsi="Arial" w:cs="Arial"/>
          <w:bCs/>
          <w:sz w:val="24"/>
          <w:szCs w:val="24"/>
        </w:rPr>
        <w:t xml:space="preserve"> nearly 500 assets which are supported to varying degrees from full FM management to local management with call-offs from corporate FM contracts. This delivery model is under review.</w:t>
      </w:r>
      <w:r w:rsidR="0002122E">
        <w:rPr>
          <w:rFonts w:ascii="Arial" w:hAnsi="Arial" w:cs="Arial"/>
          <w:bCs/>
          <w:sz w:val="24"/>
          <w:szCs w:val="24"/>
        </w:rPr>
        <w:t xml:space="preserve"> </w:t>
      </w:r>
    </w:p>
    <w:p w14:paraId="37491F41" w14:textId="7D612D18" w:rsidR="00DD2C42" w:rsidRPr="00DD2C42" w:rsidRDefault="00DD2C42" w:rsidP="00DD2C42">
      <w:pPr>
        <w:keepNext/>
        <w:keepLines/>
        <w:jc w:val="both"/>
        <w:rPr>
          <w:rFonts w:ascii="Arial" w:hAnsi="Arial" w:cs="Arial"/>
          <w:bCs/>
          <w:sz w:val="24"/>
          <w:szCs w:val="24"/>
        </w:rPr>
      </w:pPr>
      <w:r w:rsidRPr="00DD2C42">
        <w:rPr>
          <w:rFonts w:ascii="Arial" w:hAnsi="Arial" w:cs="Arial"/>
          <w:bCs/>
          <w:sz w:val="24"/>
          <w:szCs w:val="24"/>
        </w:rPr>
        <w:t xml:space="preserve">CFM’s </w:t>
      </w:r>
      <w:r w:rsidR="00F24988">
        <w:rPr>
          <w:rFonts w:ascii="Arial" w:hAnsi="Arial" w:cs="Arial"/>
          <w:bCs/>
          <w:sz w:val="24"/>
          <w:szCs w:val="24"/>
        </w:rPr>
        <w:t xml:space="preserve">delivery approach and </w:t>
      </w:r>
      <w:r w:rsidRPr="00DD2C42">
        <w:rPr>
          <w:rFonts w:ascii="Arial" w:hAnsi="Arial" w:cs="Arial"/>
          <w:bCs/>
          <w:sz w:val="24"/>
          <w:szCs w:val="24"/>
        </w:rPr>
        <w:t>procurement strategy is a cornerstone of the council’s broader efficiency and savings programme, enabling a modern, integrated FM service model for a large and complex public estate. This includes the management of a dynamic property disposal and acquisition programme that underpins borough-wide regeneration and asset transformation.</w:t>
      </w:r>
    </w:p>
    <w:p w14:paraId="5328D8E1" w14:textId="77777777" w:rsidR="00DD2C42" w:rsidRPr="00DD2C42" w:rsidRDefault="00DD2C42" w:rsidP="00DD2C42">
      <w:pPr>
        <w:keepNext/>
        <w:keepLines/>
        <w:jc w:val="both"/>
        <w:rPr>
          <w:rFonts w:ascii="Arial" w:hAnsi="Arial" w:cs="Arial"/>
          <w:bCs/>
          <w:sz w:val="24"/>
          <w:szCs w:val="24"/>
        </w:rPr>
      </w:pPr>
      <w:r w:rsidRPr="00DD2C42">
        <w:rPr>
          <w:rFonts w:ascii="Arial" w:hAnsi="Arial" w:cs="Arial"/>
          <w:bCs/>
          <w:sz w:val="24"/>
          <w:szCs w:val="24"/>
        </w:rPr>
        <w:t>In addition to managing major corporate service contracts and overseeing significant FM-related budgets, the division plays a central role in the design, development and delivery of high-impact capital projects. This includes workplace refurbishments, fit-outs, and public realm improvements, such as the delivery of Southwark’s multimillion-pound culture and heritage centre.</w:t>
      </w:r>
    </w:p>
    <w:p w14:paraId="7DA89E42" w14:textId="77777777" w:rsidR="00DD2C42" w:rsidRDefault="00DD2C42" w:rsidP="006B4A67">
      <w:pPr>
        <w:keepNext/>
        <w:keepLines/>
        <w:jc w:val="both"/>
        <w:rPr>
          <w:rFonts w:ascii="Arial" w:hAnsi="Arial" w:cs="Arial"/>
          <w:bCs/>
          <w:sz w:val="24"/>
          <w:szCs w:val="24"/>
        </w:rPr>
      </w:pPr>
    </w:p>
    <w:p w14:paraId="41FC881A" w14:textId="77777777" w:rsidR="00DC21CE" w:rsidRPr="006B4A67" w:rsidRDefault="00DC21CE" w:rsidP="006B4A67">
      <w:pPr>
        <w:keepNext/>
        <w:keepLines/>
        <w:jc w:val="both"/>
        <w:rPr>
          <w:rFonts w:ascii="Arial" w:hAnsi="Arial" w:cs="Arial"/>
          <w:bCs/>
          <w:sz w:val="24"/>
          <w:szCs w:val="24"/>
        </w:rPr>
      </w:pPr>
    </w:p>
    <w:p w14:paraId="2687AC36" w14:textId="77777777" w:rsidR="0002122E" w:rsidRPr="00B607B5" w:rsidRDefault="0002122E" w:rsidP="0002122E">
      <w:pPr>
        <w:pStyle w:val="ListParagraph"/>
        <w:keepNext/>
        <w:keepLines/>
        <w:numPr>
          <w:ilvl w:val="0"/>
          <w:numId w:val="18"/>
        </w:numPr>
        <w:jc w:val="both"/>
        <w:rPr>
          <w:rFonts w:ascii="Arial" w:hAnsi="Arial" w:cs="Arial"/>
          <w:bCs/>
          <w:sz w:val="24"/>
          <w:szCs w:val="24"/>
        </w:rPr>
      </w:pPr>
    </w:p>
    <w:p w14:paraId="12C576D4" w14:textId="24A114EC" w:rsidR="00577073" w:rsidRPr="00C01548" w:rsidRDefault="00577073" w:rsidP="00577073">
      <w:pPr>
        <w:keepNext/>
        <w:keepLines/>
        <w:jc w:val="both"/>
        <w:rPr>
          <w:rFonts w:ascii="Arial" w:hAnsi="Arial" w:cs="Arial"/>
          <w:b/>
          <w:sz w:val="24"/>
          <w:szCs w:val="24"/>
        </w:rPr>
      </w:pPr>
      <w:r w:rsidRPr="00C01548">
        <w:rPr>
          <w:rFonts w:ascii="Arial" w:hAnsi="Arial" w:cs="Arial"/>
          <w:b/>
          <w:sz w:val="24"/>
          <w:szCs w:val="24"/>
        </w:rPr>
        <w:t>Financial responsibilities</w:t>
      </w:r>
    </w:p>
    <w:p w14:paraId="1185A49D" w14:textId="5E571037" w:rsidR="00EC2778" w:rsidRDefault="005D2470" w:rsidP="004C3C8D">
      <w:pPr>
        <w:keepNext/>
        <w:jc w:val="both"/>
        <w:rPr>
          <w:rFonts w:ascii="Arial" w:hAnsi="Arial" w:cs="Arial"/>
          <w:sz w:val="24"/>
          <w:szCs w:val="24"/>
        </w:rPr>
      </w:pPr>
      <w:r w:rsidRPr="005D2470">
        <w:rPr>
          <w:rFonts w:ascii="Arial" w:hAnsi="Arial" w:cs="Arial"/>
          <w:sz w:val="24"/>
          <w:szCs w:val="24"/>
        </w:rPr>
        <w:t>The post holder is responsible for all revenue and capital budgets within the CFM service area</w:t>
      </w:r>
      <w:r w:rsidR="00F24988">
        <w:rPr>
          <w:rFonts w:ascii="Arial" w:hAnsi="Arial" w:cs="Arial"/>
          <w:sz w:val="24"/>
          <w:szCs w:val="24"/>
        </w:rPr>
        <w:t xml:space="preserve">. Expenditure in any one year will be typically </w:t>
      </w:r>
      <w:proofErr w:type="gramStart"/>
      <w:r w:rsidR="00F24988">
        <w:rPr>
          <w:rFonts w:ascii="Arial" w:hAnsi="Arial" w:cs="Arial"/>
          <w:sz w:val="24"/>
          <w:szCs w:val="24"/>
        </w:rPr>
        <w:t>in excess of</w:t>
      </w:r>
      <w:proofErr w:type="gramEnd"/>
      <w:r w:rsidR="00F24988">
        <w:rPr>
          <w:rFonts w:ascii="Arial" w:hAnsi="Arial" w:cs="Arial"/>
          <w:sz w:val="24"/>
          <w:szCs w:val="24"/>
        </w:rPr>
        <w:t xml:space="preserve"> £20m.</w:t>
      </w:r>
    </w:p>
    <w:p w14:paraId="07BB3FCE" w14:textId="1430C288" w:rsidR="00E43335" w:rsidRDefault="00E43335" w:rsidP="00E43335">
      <w:pPr>
        <w:keepNext/>
        <w:keepLines/>
        <w:spacing w:line="240" w:lineRule="auto"/>
        <w:jc w:val="both"/>
        <w:rPr>
          <w:rFonts w:ascii="Arial" w:hAnsi="Arial" w:cs="Arial"/>
          <w:b/>
          <w:sz w:val="24"/>
          <w:szCs w:val="24"/>
        </w:rPr>
      </w:pPr>
      <w:r w:rsidRPr="00C01548">
        <w:rPr>
          <w:rFonts w:ascii="Arial" w:hAnsi="Arial" w:cs="Arial"/>
          <w:b/>
          <w:sz w:val="24"/>
          <w:szCs w:val="24"/>
        </w:rPr>
        <w:t>Con</w:t>
      </w:r>
      <w:r>
        <w:rPr>
          <w:rFonts w:ascii="Arial" w:hAnsi="Arial" w:cs="Arial"/>
          <w:b/>
          <w:sz w:val="24"/>
          <w:szCs w:val="24"/>
        </w:rPr>
        <w:t>tacts</w:t>
      </w:r>
    </w:p>
    <w:p w14:paraId="5EE59885" w14:textId="4D15F8C1" w:rsidR="00361F5F" w:rsidRPr="00361F5F" w:rsidRDefault="00361F5F" w:rsidP="00361F5F">
      <w:pPr>
        <w:keepNext/>
        <w:keepLines/>
        <w:spacing w:line="240" w:lineRule="auto"/>
        <w:jc w:val="both"/>
        <w:rPr>
          <w:rFonts w:ascii="Arial" w:hAnsi="Arial" w:cs="Arial"/>
          <w:bCs/>
          <w:sz w:val="24"/>
          <w:szCs w:val="24"/>
        </w:rPr>
      </w:pPr>
      <w:r>
        <w:rPr>
          <w:rFonts w:ascii="Arial" w:hAnsi="Arial" w:cs="Arial"/>
          <w:bCs/>
          <w:sz w:val="24"/>
          <w:szCs w:val="24"/>
        </w:rPr>
        <w:t>I</w:t>
      </w:r>
      <w:r w:rsidRPr="00361F5F">
        <w:rPr>
          <w:rFonts w:ascii="Arial" w:hAnsi="Arial" w:cs="Arial"/>
          <w:bCs/>
          <w:sz w:val="24"/>
          <w:szCs w:val="24"/>
        </w:rPr>
        <w:t xml:space="preserve">nternal stakeholders include the Chief Executive, Strategic Directors, the Leader of the Council, Cabinet Members, elected councillors, Heads of Service, and senior officers across all departments. Regular engagement is also required with key corporate functions such as </w:t>
      </w:r>
      <w:r w:rsidR="00F24988">
        <w:rPr>
          <w:rFonts w:ascii="Arial" w:hAnsi="Arial" w:cs="Arial"/>
          <w:bCs/>
          <w:sz w:val="24"/>
          <w:szCs w:val="24"/>
        </w:rPr>
        <w:t>legal, procurement and finance services</w:t>
      </w:r>
      <w:r w:rsidRPr="00361F5F">
        <w:rPr>
          <w:rFonts w:ascii="Arial" w:hAnsi="Arial" w:cs="Arial"/>
          <w:bCs/>
          <w:sz w:val="24"/>
          <w:szCs w:val="24"/>
        </w:rPr>
        <w:t>, alongside internal suppliers and delivery partners.</w:t>
      </w:r>
    </w:p>
    <w:p w14:paraId="29190A6C" w14:textId="7205160B" w:rsidR="00361F5F" w:rsidRPr="00361F5F" w:rsidRDefault="00361F5F" w:rsidP="00361F5F">
      <w:pPr>
        <w:keepNext/>
        <w:keepLines/>
        <w:spacing w:line="240" w:lineRule="auto"/>
        <w:jc w:val="both"/>
        <w:rPr>
          <w:rFonts w:ascii="Arial" w:hAnsi="Arial" w:cs="Arial"/>
          <w:bCs/>
          <w:sz w:val="24"/>
          <w:szCs w:val="24"/>
        </w:rPr>
      </w:pPr>
      <w:r>
        <w:rPr>
          <w:rFonts w:ascii="Arial" w:hAnsi="Arial" w:cs="Arial"/>
          <w:bCs/>
          <w:sz w:val="24"/>
          <w:szCs w:val="24"/>
        </w:rPr>
        <w:lastRenderedPageBreak/>
        <w:t>E</w:t>
      </w:r>
      <w:r w:rsidRPr="00361F5F">
        <w:rPr>
          <w:rFonts w:ascii="Arial" w:hAnsi="Arial" w:cs="Arial"/>
          <w:bCs/>
          <w:sz w:val="24"/>
          <w:szCs w:val="24"/>
        </w:rPr>
        <w:t>xternal relationships span a wide network including the NHS, Integrated Care Board (ICB), headteachers, school governors, and major supply chain and project partners across both public and private sectors. The role also involves close liaison with regulatory and statutory bodies, including the Health and Safety Executive (HSE), and requires</w:t>
      </w:r>
      <w:r w:rsidR="00F24988">
        <w:rPr>
          <w:rFonts w:ascii="Arial" w:hAnsi="Arial" w:cs="Arial"/>
          <w:bCs/>
          <w:sz w:val="24"/>
          <w:szCs w:val="24"/>
        </w:rPr>
        <w:t xml:space="preserve"> occasional</w:t>
      </w:r>
      <w:r w:rsidRPr="00361F5F">
        <w:rPr>
          <w:rFonts w:ascii="Arial" w:hAnsi="Arial" w:cs="Arial"/>
          <w:bCs/>
          <w:sz w:val="24"/>
          <w:szCs w:val="24"/>
        </w:rPr>
        <w:t xml:space="preserve"> attendance at external forums, such as community council meetings, where you may present on behalf of the council.</w:t>
      </w:r>
    </w:p>
    <w:p w14:paraId="7919DF4C" w14:textId="1DEA9B05" w:rsidR="00361F5F" w:rsidRPr="00361F5F" w:rsidRDefault="00D45B1E" w:rsidP="00361F5F">
      <w:pPr>
        <w:keepNext/>
        <w:keepLines/>
        <w:spacing w:line="240" w:lineRule="auto"/>
        <w:jc w:val="both"/>
        <w:rPr>
          <w:rFonts w:ascii="Arial" w:hAnsi="Arial" w:cs="Arial"/>
          <w:bCs/>
          <w:sz w:val="24"/>
          <w:szCs w:val="24"/>
        </w:rPr>
      </w:pPr>
      <w:r>
        <w:rPr>
          <w:rFonts w:ascii="Arial" w:hAnsi="Arial" w:cs="Arial"/>
          <w:bCs/>
          <w:sz w:val="24"/>
          <w:szCs w:val="24"/>
        </w:rPr>
        <w:t>The role r</w:t>
      </w:r>
      <w:r w:rsidR="00361F5F" w:rsidRPr="00361F5F">
        <w:rPr>
          <w:rFonts w:ascii="Arial" w:hAnsi="Arial" w:cs="Arial"/>
          <w:bCs/>
          <w:sz w:val="24"/>
          <w:szCs w:val="24"/>
        </w:rPr>
        <w:t>epresent</w:t>
      </w:r>
      <w:r>
        <w:rPr>
          <w:rFonts w:ascii="Arial" w:hAnsi="Arial" w:cs="Arial"/>
          <w:bCs/>
          <w:sz w:val="24"/>
          <w:szCs w:val="24"/>
        </w:rPr>
        <w:t>s</w:t>
      </w:r>
      <w:r w:rsidR="00361F5F" w:rsidRPr="00361F5F">
        <w:rPr>
          <w:rFonts w:ascii="Arial" w:hAnsi="Arial" w:cs="Arial"/>
          <w:bCs/>
          <w:sz w:val="24"/>
          <w:szCs w:val="24"/>
        </w:rPr>
        <w:t xml:space="preserve"> Southwark in the planning, development, and oversight of effective partnership working with external and third-party providers involved in delivering Facilities Management services.</w:t>
      </w:r>
      <w:r w:rsidR="00FA3D6D">
        <w:rPr>
          <w:rFonts w:ascii="Arial" w:hAnsi="Arial" w:cs="Arial"/>
          <w:bCs/>
          <w:sz w:val="24"/>
          <w:szCs w:val="24"/>
        </w:rPr>
        <w:t xml:space="preserve"> </w:t>
      </w:r>
    </w:p>
    <w:p w14:paraId="251C1BFB" w14:textId="5969D7EC" w:rsidR="00577073" w:rsidRDefault="00577073" w:rsidP="00347BB8">
      <w:pPr>
        <w:keepNext/>
        <w:keepLines/>
        <w:spacing w:line="240" w:lineRule="auto"/>
        <w:jc w:val="both"/>
        <w:rPr>
          <w:rFonts w:ascii="Arial" w:hAnsi="Arial" w:cs="Arial"/>
          <w:b/>
          <w:sz w:val="24"/>
          <w:szCs w:val="24"/>
        </w:rPr>
      </w:pPr>
      <w:r w:rsidRPr="00C01548">
        <w:rPr>
          <w:rFonts w:ascii="Arial" w:hAnsi="Arial" w:cs="Arial"/>
          <w:b/>
          <w:sz w:val="24"/>
          <w:szCs w:val="24"/>
        </w:rPr>
        <w:t>Conditions of Service</w:t>
      </w:r>
    </w:p>
    <w:p w14:paraId="7E02F663" w14:textId="62674C15" w:rsidR="00C01548" w:rsidRPr="00874B14" w:rsidRDefault="00C01548" w:rsidP="00347BB8">
      <w:pPr>
        <w:keepNext/>
        <w:keepLines/>
        <w:spacing w:line="240" w:lineRule="auto"/>
        <w:jc w:val="both"/>
        <w:rPr>
          <w:rFonts w:ascii="Arial" w:hAnsi="Arial" w:cs="Arial"/>
          <w:sz w:val="24"/>
          <w:szCs w:val="24"/>
        </w:rPr>
      </w:pPr>
      <w:r w:rsidRPr="00874B14">
        <w:rPr>
          <w:rFonts w:ascii="Arial" w:hAnsi="Arial" w:cs="Arial"/>
          <w:sz w:val="24"/>
          <w:szCs w:val="24"/>
        </w:rPr>
        <w:t>There is a requirement for the post holder on occasions, to work outside normal office hours and at different venues to meet the needs of the service.</w:t>
      </w:r>
    </w:p>
    <w:p w14:paraId="426A25A7" w14:textId="7B636790" w:rsidR="00577073" w:rsidRPr="00874B14" w:rsidRDefault="00577073" w:rsidP="00260D89">
      <w:pPr>
        <w:keepNext/>
        <w:keepLines/>
        <w:spacing w:line="240" w:lineRule="auto"/>
        <w:jc w:val="both"/>
        <w:rPr>
          <w:rFonts w:ascii="Arial" w:hAnsi="Arial" w:cs="Arial"/>
          <w:b/>
          <w:sz w:val="24"/>
          <w:szCs w:val="24"/>
        </w:rPr>
      </w:pPr>
      <w:r w:rsidRPr="00874B14">
        <w:rPr>
          <w:rFonts w:ascii="Arial" w:hAnsi="Arial" w:cs="Arial"/>
          <w:b/>
          <w:sz w:val="24"/>
          <w:szCs w:val="24"/>
        </w:rPr>
        <w:t>General</w:t>
      </w:r>
    </w:p>
    <w:p w14:paraId="2F88EDB4" w14:textId="2878D24E" w:rsidR="00C01548" w:rsidRPr="00874B14" w:rsidRDefault="00EC2778" w:rsidP="00260D89">
      <w:pPr>
        <w:keepNext/>
        <w:keepLines/>
        <w:spacing w:line="240" w:lineRule="auto"/>
        <w:jc w:val="both"/>
        <w:rPr>
          <w:rFonts w:ascii="Arial" w:hAnsi="Arial" w:cs="Arial"/>
          <w:sz w:val="24"/>
          <w:szCs w:val="24"/>
          <w:highlight w:val="yellow"/>
        </w:rPr>
      </w:pPr>
      <w:r>
        <w:rPr>
          <w:rFonts w:ascii="Arial" w:hAnsi="Arial" w:cs="Arial"/>
          <w:sz w:val="24"/>
          <w:szCs w:val="24"/>
        </w:rPr>
        <w:t xml:space="preserve">This role operates within a fast paced, high profile, and customer facing environment. A strong understanding of </w:t>
      </w:r>
      <w:r w:rsidR="00F24988">
        <w:rPr>
          <w:rFonts w:ascii="Arial" w:hAnsi="Arial" w:cs="Arial"/>
          <w:sz w:val="24"/>
          <w:szCs w:val="24"/>
        </w:rPr>
        <w:t xml:space="preserve">facilities management, </w:t>
      </w:r>
      <w:r>
        <w:rPr>
          <w:rFonts w:ascii="Arial" w:hAnsi="Arial" w:cs="Arial"/>
          <w:sz w:val="24"/>
          <w:szCs w:val="24"/>
        </w:rPr>
        <w:t xml:space="preserve">public sector governance, capital programme delivery, digital systems, and contract management is essential to deliver against service and corporate </w:t>
      </w:r>
      <w:r w:rsidR="00DD7B5E">
        <w:rPr>
          <w:rFonts w:ascii="Arial" w:hAnsi="Arial" w:cs="Arial"/>
          <w:sz w:val="24"/>
          <w:szCs w:val="24"/>
        </w:rPr>
        <w:t xml:space="preserve">priorities. </w:t>
      </w:r>
    </w:p>
    <w:p w14:paraId="7D335DB8" w14:textId="66211647" w:rsidR="00577073" w:rsidRDefault="00577073" w:rsidP="00260D89">
      <w:pPr>
        <w:keepNext/>
        <w:keepLines/>
        <w:spacing w:line="240" w:lineRule="auto"/>
        <w:jc w:val="both"/>
        <w:rPr>
          <w:rFonts w:ascii="Arial" w:hAnsi="Arial" w:cs="Arial"/>
          <w:b/>
          <w:sz w:val="24"/>
          <w:szCs w:val="24"/>
        </w:rPr>
      </w:pPr>
      <w:r w:rsidRPr="00874B14">
        <w:rPr>
          <w:rFonts w:ascii="Arial" w:hAnsi="Arial" w:cs="Arial"/>
          <w:b/>
          <w:sz w:val="24"/>
          <w:szCs w:val="24"/>
        </w:rPr>
        <w:t>Health &amp; Safety</w:t>
      </w:r>
      <w:r w:rsidRPr="00035A48">
        <w:rPr>
          <w:rFonts w:ascii="Arial" w:hAnsi="Arial" w:cs="Arial"/>
          <w:b/>
          <w:sz w:val="24"/>
          <w:szCs w:val="24"/>
        </w:rPr>
        <w:t xml:space="preserve"> </w:t>
      </w:r>
    </w:p>
    <w:p w14:paraId="6F4CC91A" w14:textId="6FF627C6" w:rsidR="00874B14" w:rsidRPr="00874B14" w:rsidRDefault="00DD7B5E" w:rsidP="00260D89">
      <w:pPr>
        <w:keepNext/>
        <w:keepLines/>
        <w:spacing w:line="240" w:lineRule="auto"/>
        <w:jc w:val="both"/>
        <w:rPr>
          <w:rFonts w:ascii="Arial" w:hAnsi="Arial" w:cs="Arial"/>
          <w:sz w:val="24"/>
          <w:szCs w:val="24"/>
        </w:rPr>
      </w:pPr>
      <w:r>
        <w:rPr>
          <w:rFonts w:ascii="Arial" w:hAnsi="Arial" w:cs="Arial"/>
          <w:sz w:val="24"/>
          <w:szCs w:val="24"/>
        </w:rPr>
        <w:t>A comprehensive understanding of health an</w:t>
      </w:r>
      <w:r w:rsidR="00F24988">
        <w:rPr>
          <w:rFonts w:ascii="Arial" w:hAnsi="Arial" w:cs="Arial"/>
          <w:sz w:val="24"/>
          <w:szCs w:val="24"/>
        </w:rPr>
        <w:t>d</w:t>
      </w:r>
      <w:r>
        <w:rPr>
          <w:rFonts w:ascii="Arial" w:hAnsi="Arial" w:cs="Arial"/>
          <w:sz w:val="24"/>
          <w:szCs w:val="24"/>
        </w:rPr>
        <w:t xml:space="preserve"> safety legislation and best practice is required, particularly in relation to the public sector estate and facilities used by employees, residents, and partners. </w:t>
      </w:r>
    </w:p>
    <w:p w14:paraId="369F44D2" w14:textId="2F732485" w:rsidR="00577073" w:rsidRPr="00035A48" w:rsidRDefault="00577073" w:rsidP="00260D89">
      <w:pPr>
        <w:keepNext/>
        <w:keepLines/>
        <w:spacing w:line="240" w:lineRule="auto"/>
        <w:jc w:val="both"/>
        <w:rPr>
          <w:rFonts w:ascii="Arial" w:hAnsi="Arial" w:cs="Arial"/>
          <w:b/>
          <w:sz w:val="24"/>
          <w:szCs w:val="24"/>
        </w:rPr>
      </w:pPr>
      <w:r w:rsidRPr="00035A48">
        <w:rPr>
          <w:rFonts w:ascii="Arial" w:hAnsi="Arial" w:cs="Arial"/>
          <w:b/>
          <w:sz w:val="24"/>
          <w:szCs w:val="24"/>
        </w:rPr>
        <w:t xml:space="preserve">Job sharing </w:t>
      </w:r>
    </w:p>
    <w:p w14:paraId="171FF233" w14:textId="08FC343F" w:rsidR="00E407BC" w:rsidRPr="00035A48" w:rsidRDefault="00B51C55" w:rsidP="00260D89">
      <w:pPr>
        <w:keepNext/>
        <w:keepLines/>
        <w:spacing w:line="240" w:lineRule="auto"/>
        <w:jc w:val="both"/>
        <w:rPr>
          <w:rFonts w:ascii="Arial" w:hAnsi="Arial" w:cs="Arial"/>
          <w:sz w:val="24"/>
          <w:szCs w:val="24"/>
        </w:rPr>
      </w:pPr>
      <w:r>
        <w:rPr>
          <w:rFonts w:ascii="Arial" w:hAnsi="Arial" w:cs="Arial"/>
          <w:sz w:val="24"/>
          <w:szCs w:val="24"/>
        </w:rPr>
        <w:t xml:space="preserve">We welcome application for job share, part-time, or other flexible working arrangements. </w:t>
      </w:r>
    </w:p>
    <w:p w14:paraId="3F9B5410" w14:textId="4C49C271" w:rsidR="00D61EDD" w:rsidRPr="00D61EDD" w:rsidRDefault="00A30EB6" w:rsidP="00D61EDD">
      <w:pPr>
        <w:rPr>
          <w:rFonts w:ascii="Arial" w:eastAsia="Times New Roman" w:hAnsi="Arial" w:cs="Arial"/>
          <w:color w:val="000000"/>
          <w:sz w:val="24"/>
          <w:szCs w:val="24"/>
          <w:lang w:eastAsia="en-GB"/>
        </w:rPr>
      </w:pPr>
      <w:r w:rsidRPr="00035A48">
        <w:rPr>
          <w:rFonts w:ascii="Arial" w:eastAsia="Times New Roman" w:hAnsi="Arial" w:cs="Arial"/>
          <w:b/>
          <w:sz w:val="24"/>
          <w:szCs w:val="24"/>
          <w:lang w:eastAsia="en-GB"/>
        </w:rPr>
        <w:t>Grade/Conditions of Service</w:t>
      </w:r>
      <w:r w:rsidRPr="00035A48">
        <w:rPr>
          <w:rFonts w:ascii="Arial" w:eastAsia="Times New Roman" w:hAnsi="Arial" w:cs="Arial"/>
          <w:b/>
          <w:sz w:val="24"/>
          <w:szCs w:val="24"/>
          <w:lang w:eastAsia="en-GB"/>
        </w:rPr>
        <w:br/>
      </w:r>
      <w:r w:rsidR="00D61EDD" w:rsidRPr="00D61EDD">
        <w:rPr>
          <w:rFonts w:ascii="Arial" w:eastAsia="Times New Roman" w:hAnsi="Arial" w:cs="Arial"/>
          <w:color w:val="000000"/>
          <w:sz w:val="24"/>
          <w:szCs w:val="24"/>
          <w:lang w:eastAsia="en-GB"/>
        </w:rPr>
        <w:t xml:space="preserve">Grade </w:t>
      </w:r>
      <w:r w:rsidR="00EC2778">
        <w:rPr>
          <w:rFonts w:ascii="Arial" w:eastAsia="Times New Roman" w:hAnsi="Arial" w:cs="Arial"/>
          <w:color w:val="000000"/>
          <w:sz w:val="24"/>
          <w:szCs w:val="24"/>
          <w:lang w:eastAsia="en-GB"/>
        </w:rPr>
        <w:t>1</w:t>
      </w:r>
      <w:r w:rsidR="00F24988">
        <w:rPr>
          <w:rFonts w:ascii="Arial" w:eastAsia="Times New Roman" w:hAnsi="Arial" w:cs="Arial"/>
          <w:color w:val="000000"/>
          <w:sz w:val="24"/>
          <w:szCs w:val="24"/>
          <w:lang w:eastAsia="en-GB"/>
        </w:rPr>
        <w:t>6</w:t>
      </w:r>
    </w:p>
    <w:p w14:paraId="44F4B2DE" w14:textId="77777777" w:rsidR="00756DE3" w:rsidRPr="00035A48" w:rsidRDefault="00756DE3" w:rsidP="008605F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r w:rsidRPr="00035A48">
        <w:rPr>
          <w:rFonts w:ascii="Arial" w:eastAsia="Times New Roman" w:hAnsi="Arial" w:cs="Arial"/>
          <w:color w:val="000000"/>
          <w:sz w:val="24"/>
          <w:szCs w:val="24"/>
          <w:lang w:eastAsia="en-GB"/>
        </w:rPr>
        <w:t xml:space="preserve">The employment is subject to a probationary period of </w:t>
      </w:r>
      <w:proofErr w:type="gramStart"/>
      <w:r w:rsidRPr="00035A48">
        <w:rPr>
          <w:rFonts w:ascii="Arial" w:eastAsia="Times New Roman" w:hAnsi="Arial" w:cs="Arial"/>
          <w:color w:val="000000"/>
          <w:sz w:val="24"/>
          <w:szCs w:val="24"/>
          <w:lang w:eastAsia="en-GB"/>
        </w:rPr>
        <w:t>twenty six</w:t>
      </w:r>
      <w:proofErr w:type="gramEnd"/>
      <w:r w:rsidRPr="00035A48">
        <w:rPr>
          <w:rFonts w:ascii="Arial" w:eastAsia="Times New Roman" w:hAnsi="Arial" w:cs="Arial"/>
          <w:color w:val="000000"/>
          <w:sz w:val="24"/>
          <w:szCs w:val="24"/>
          <w:lang w:eastAsia="en-GB"/>
        </w:rPr>
        <w:t xml:space="preserve"> weeks from your start date of employment with Southwark Council, during which time you will be required to demonstrate to the council’s satisfaction your suitability for the position in which you are employed.</w:t>
      </w:r>
    </w:p>
    <w:p w14:paraId="7A7ECC4E" w14:textId="77777777" w:rsidR="00E507E9" w:rsidRPr="00035A48" w:rsidRDefault="00E507E9" w:rsidP="008605F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eastAsia="en-GB"/>
        </w:rPr>
      </w:pPr>
    </w:p>
    <w:p w14:paraId="6D70CE7C" w14:textId="33F5B182" w:rsidR="00D61EDD" w:rsidRDefault="00D61EDD" w:rsidP="00883D08">
      <w:pPr>
        <w:jc w:val="center"/>
        <w:rPr>
          <w:rFonts w:ascii="Arial" w:eastAsia="Times New Roman" w:hAnsi="Arial" w:cs="Arial"/>
          <w:b/>
          <w:sz w:val="32"/>
          <w:szCs w:val="32"/>
        </w:rPr>
      </w:pPr>
    </w:p>
    <w:p w14:paraId="73A78524" w14:textId="7602BFBC" w:rsidR="00874B14" w:rsidRDefault="00874B14" w:rsidP="00883D08">
      <w:pPr>
        <w:jc w:val="center"/>
        <w:rPr>
          <w:rFonts w:ascii="Arial" w:eastAsia="Times New Roman" w:hAnsi="Arial" w:cs="Arial"/>
          <w:b/>
          <w:sz w:val="32"/>
          <w:szCs w:val="32"/>
        </w:rPr>
      </w:pPr>
    </w:p>
    <w:p w14:paraId="62829903" w14:textId="150B6E78" w:rsidR="00874B14" w:rsidRDefault="00874B14" w:rsidP="00883D08">
      <w:pPr>
        <w:jc w:val="center"/>
        <w:rPr>
          <w:rFonts w:ascii="Arial" w:eastAsia="Times New Roman" w:hAnsi="Arial" w:cs="Arial"/>
          <w:b/>
          <w:sz w:val="32"/>
          <w:szCs w:val="32"/>
        </w:rPr>
      </w:pPr>
    </w:p>
    <w:p w14:paraId="1BAE5885" w14:textId="0945D215" w:rsidR="00454402" w:rsidRPr="00035A48" w:rsidRDefault="00454402" w:rsidP="00883D08">
      <w:pPr>
        <w:jc w:val="center"/>
        <w:rPr>
          <w:rFonts w:ascii="Arial" w:eastAsia="Times New Roman" w:hAnsi="Arial" w:cs="Arial"/>
          <w:b/>
          <w:sz w:val="32"/>
          <w:szCs w:val="32"/>
        </w:rPr>
      </w:pPr>
      <w:r w:rsidRPr="00035A48">
        <w:rPr>
          <w:rFonts w:ascii="Arial" w:eastAsia="Times New Roman" w:hAnsi="Arial" w:cs="Arial"/>
          <w:b/>
          <w:sz w:val="32"/>
          <w:szCs w:val="32"/>
        </w:rPr>
        <w:t>PERSON SPECIFICATION</w:t>
      </w:r>
    </w:p>
    <w:p w14:paraId="0A86A855" w14:textId="77777777" w:rsidR="00454402" w:rsidRPr="00035A48" w:rsidRDefault="00454402" w:rsidP="00454402">
      <w:pPr>
        <w:spacing w:after="0" w:line="240" w:lineRule="auto"/>
        <w:jc w:val="both"/>
        <w:rPr>
          <w:rFonts w:ascii="Arial" w:eastAsia="Times New Roman" w:hAnsi="Arial" w:cs="Arial"/>
          <w:sz w:val="24"/>
          <w:szCs w:val="20"/>
        </w:rPr>
      </w:pPr>
      <w:r w:rsidRPr="00035A48">
        <w:rPr>
          <w:rFonts w:ascii="Arial" w:eastAsia="Times New Roman" w:hAnsi="Arial" w:cs="Arial"/>
          <w:color w:val="000000"/>
          <w:sz w:val="24"/>
          <w:szCs w:val="20"/>
          <w:lang w:val="en-US"/>
        </w:rPr>
        <w:lastRenderedPageBreak/>
        <w:t xml:space="preserve">The person specification is a picture of skills, knowledge and experience required to carry out the job.  </w:t>
      </w:r>
    </w:p>
    <w:p w14:paraId="6AF47954" w14:textId="77777777" w:rsidR="002E57E8" w:rsidRPr="00035A4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9082" w:type="dxa"/>
        <w:tblLook w:val="00A0" w:firstRow="1" w:lastRow="0" w:firstColumn="1" w:lastColumn="0" w:noHBand="0" w:noVBand="0"/>
      </w:tblPr>
      <w:tblGrid>
        <w:gridCol w:w="7556"/>
        <w:gridCol w:w="1526"/>
      </w:tblGrid>
      <w:tr w:rsidR="0065567E" w:rsidRPr="00035A48" w14:paraId="706CCD2E" w14:textId="77777777" w:rsidTr="0065567E">
        <w:trPr>
          <w:trHeight w:val="829"/>
        </w:trPr>
        <w:tc>
          <w:tcPr>
            <w:tcW w:w="7556" w:type="dxa"/>
          </w:tcPr>
          <w:p w14:paraId="3FDF6B0D" w14:textId="77777777" w:rsidR="0065567E" w:rsidRPr="00035A48" w:rsidRDefault="0065567E" w:rsidP="002E57E8">
            <w:pPr>
              <w:tabs>
                <w:tab w:val="num" w:pos="720"/>
              </w:tabs>
              <w:ind w:left="720" w:hanging="720"/>
              <w:rPr>
                <w:rFonts w:cs="Arial"/>
                <w:b/>
                <w:szCs w:val="24"/>
              </w:rPr>
            </w:pPr>
          </w:p>
          <w:p w14:paraId="791A9BF9" w14:textId="77777777" w:rsidR="0065567E" w:rsidRPr="00035A48" w:rsidRDefault="0065567E" w:rsidP="002E57E8">
            <w:pPr>
              <w:tabs>
                <w:tab w:val="num" w:pos="720"/>
              </w:tabs>
              <w:ind w:left="720" w:hanging="720"/>
              <w:rPr>
                <w:rFonts w:cs="Arial"/>
                <w:b/>
                <w:szCs w:val="24"/>
              </w:rPr>
            </w:pPr>
          </w:p>
          <w:p w14:paraId="0CDE9FE3" w14:textId="77777777" w:rsidR="0065567E" w:rsidRPr="00035A48" w:rsidRDefault="0065567E" w:rsidP="002E57E8">
            <w:pPr>
              <w:tabs>
                <w:tab w:val="num" w:pos="720"/>
              </w:tabs>
              <w:rPr>
                <w:rFonts w:cs="Arial"/>
                <w:b/>
                <w:szCs w:val="24"/>
              </w:rPr>
            </w:pPr>
            <w:r w:rsidRPr="00035A48">
              <w:rPr>
                <w:rFonts w:cs="Arial"/>
                <w:b/>
                <w:szCs w:val="24"/>
              </w:rPr>
              <w:t>Knowledge, including educational qualifications:</w:t>
            </w:r>
          </w:p>
        </w:tc>
        <w:tc>
          <w:tcPr>
            <w:tcW w:w="1526" w:type="dxa"/>
            <w:shd w:val="clear" w:color="auto" w:fill="auto"/>
          </w:tcPr>
          <w:p w14:paraId="6DFF264A" w14:textId="77777777" w:rsidR="0065567E" w:rsidRPr="00035A48" w:rsidRDefault="0065567E" w:rsidP="002E57E8">
            <w:pPr>
              <w:tabs>
                <w:tab w:val="num" w:pos="720"/>
              </w:tabs>
              <w:jc w:val="center"/>
              <w:rPr>
                <w:rFonts w:cs="Arial"/>
                <w:b/>
                <w:szCs w:val="24"/>
              </w:rPr>
            </w:pPr>
            <w:r w:rsidRPr="00035A48">
              <w:rPr>
                <w:rFonts w:cs="Arial"/>
                <w:b/>
                <w:szCs w:val="24"/>
              </w:rPr>
              <w:t>How assessed (S/ I/ T)</w:t>
            </w:r>
          </w:p>
        </w:tc>
      </w:tr>
      <w:tr w:rsidR="0065567E" w:rsidRPr="00035A48" w14:paraId="0140E32A" w14:textId="77777777" w:rsidTr="0065567E">
        <w:trPr>
          <w:trHeight w:val="542"/>
        </w:trPr>
        <w:tc>
          <w:tcPr>
            <w:tcW w:w="7556" w:type="dxa"/>
          </w:tcPr>
          <w:p w14:paraId="7021B619" w14:textId="7F1018DF" w:rsidR="0065567E" w:rsidRPr="001713FE" w:rsidRDefault="00DD7B5E" w:rsidP="001713FE">
            <w:pPr>
              <w:pStyle w:val="ListParagraph"/>
              <w:numPr>
                <w:ilvl w:val="0"/>
                <w:numId w:val="17"/>
              </w:numPr>
            </w:pPr>
            <w:r>
              <w:t>Educated to degree level or equivalent, with relevant professional qualification (e.g. BIFM, IWFM, CIPS)</w:t>
            </w:r>
          </w:p>
        </w:tc>
        <w:tc>
          <w:tcPr>
            <w:tcW w:w="1526" w:type="dxa"/>
            <w:shd w:val="clear" w:color="auto" w:fill="auto"/>
            <w:vAlign w:val="center"/>
          </w:tcPr>
          <w:p w14:paraId="23013AFE" w14:textId="592AF6BE" w:rsidR="0065567E" w:rsidRPr="00035A48" w:rsidRDefault="00F64F4E" w:rsidP="0014760B">
            <w:pPr>
              <w:tabs>
                <w:tab w:val="num" w:pos="720"/>
              </w:tabs>
              <w:jc w:val="center"/>
              <w:rPr>
                <w:rFonts w:cs="Arial"/>
                <w:szCs w:val="24"/>
              </w:rPr>
            </w:pPr>
            <w:r>
              <w:rPr>
                <w:rFonts w:cs="Arial"/>
                <w:szCs w:val="24"/>
              </w:rPr>
              <w:t>S</w:t>
            </w:r>
          </w:p>
        </w:tc>
      </w:tr>
      <w:tr w:rsidR="0065567E" w:rsidRPr="00035A48" w14:paraId="6A941E42" w14:textId="77777777" w:rsidTr="0065567E">
        <w:trPr>
          <w:trHeight w:val="829"/>
        </w:trPr>
        <w:tc>
          <w:tcPr>
            <w:tcW w:w="7556" w:type="dxa"/>
          </w:tcPr>
          <w:p w14:paraId="05072B0F" w14:textId="26DF6275" w:rsidR="0065567E" w:rsidRPr="001713FE" w:rsidRDefault="00DD7B5E" w:rsidP="001713FE">
            <w:pPr>
              <w:pStyle w:val="ListParagraph"/>
              <w:numPr>
                <w:ilvl w:val="0"/>
                <w:numId w:val="17"/>
              </w:numPr>
            </w:pPr>
            <w:r>
              <w:t>Extensive knowledge of property compliance and health and safety regulations (e.g. fire, asbestos, electrical, gas)</w:t>
            </w:r>
          </w:p>
        </w:tc>
        <w:tc>
          <w:tcPr>
            <w:tcW w:w="1526" w:type="dxa"/>
            <w:shd w:val="clear" w:color="auto" w:fill="auto"/>
            <w:vAlign w:val="center"/>
          </w:tcPr>
          <w:p w14:paraId="7872E3A5" w14:textId="6048C53E" w:rsidR="0065567E" w:rsidRPr="00035A48" w:rsidRDefault="00F64F4E" w:rsidP="0014760B">
            <w:pPr>
              <w:tabs>
                <w:tab w:val="num" w:pos="720"/>
              </w:tabs>
              <w:jc w:val="center"/>
              <w:rPr>
                <w:rFonts w:cs="Arial"/>
                <w:szCs w:val="24"/>
              </w:rPr>
            </w:pPr>
            <w:r>
              <w:rPr>
                <w:rFonts w:cs="Arial"/>
                <w:szCs w:val="24"/>
              </w:rPr>
              <w:t>S</w:t>
            </w:r>
          </w:p>
        </w:tc>
      </w:tr>
      <w:tr w:rsidR="0065567E" w:rsidRPr="00035A48" w14:paraId="6F2EA01E" w14:textId="77777777" w:rsidTr="0065567E">
        <w:trPr>
          <w:trHeight w:val="829"/>
        </w:trPr>
        <w:tc>
          <w:tcPr>
            <w:tcW w:w="7556" w:type="dxa"/>
          </w:tcPr>
          <w:p w14:paraId="4F59CAC7" w14:textId="42E23532" w:rsidR="0065567E" w:rsidRPr="0038131F" w:rsidRDefault="00DD7B5E" w:rsidP="0038131F">
            <w:pPr>
              <w:pStyle w:val="ListParagraph"/>
              <w:numPr>
                <w:ilvl w:val="0"/>
                <w:numId w:val="17"/>
              </w:numPr>
            </w:pPr>
            <w:r>
              <w:t xml:space="preserve">Strong understanding of facilities management best practice in a public sector context. </w:t>
            </w:r>
          </w:p>
        </w:tc>
        <w:tc>
          <w:tcPr>
            <w:tcW w:w="1526" w:type="dxa"/>
            <w:shd w:val="clear" w:color="auto" w:fill="auto"/>
            <w:vAlign w:val="center"/>
          </w:tcPr>
          <w:p w14:paraId="1E1D901E" w14:textId="62C3BCC7" w:rsidR="0065567E" w:rsidRPr="00035A48" w:rsidRDefault="00F64F4E" w:rsidP="0014760B">
            <w:pPr>
              <w:tabs>
                <w:tab w:val="num" w:pos="720"/>
              </w:tabs>
              <w:jc w:val="center"/>
              <w:rPr>
                <w:rFonts w:cs="Arial"/>
                <w:szCs w:val="24"/>
              </w:rPr>
            </w:pPr>
            <w:r>
              <w:rPr>
                <w:rFonts w:cs="Arial"/>
                <w:szCs w:val="24"/>
              </w:rPr>
              <w:t>S</w:t>
            </w:r>
          </w:p>
        </w:tc>
      </w:tr>
      <w:tr w:rsidR="00DD7B5E" w:rsidRPr="00035A48" w14:paraId="13DED41E" w14:textId="77777777" w:rsidTr="0065567E">
        <w:trPr>
          <w:trHeight w:val="829"/>
        </w:trPr>
        <w:tc>
          <w:tcPr>
            <w:tcW w:w="7556" w:type="dxa"/>
          </w:tcPr>
          <w:p w14:paraId="06646E01" w14:textId="44B548A9" w:rsidR="00DD7B5E" w:rsidRDefault="00DD7B5E" w:rsidP="0038131F">
            <w:pPr>
              <w:pStyle w:val="ListParagraph"/>
              <w:numPr>
                <w:ilvl w:val="0"/>
                <w:numId w:val="17"/>
              </w:numPr>
            </w:pPr>
            <w:r>
              <w:t>In depth understanding of procurement, contract management</w:t>
            </w:r>
            <w:r w:rsidR="00F24988">
              <w:t xml:space="preserve"> and working successfully with external providers</w:t>
            </w:r>
          </w:p>
        </w:tc>
        <w:tc>
          <w:tcPr>
            <w:tcW w:w="1526" w:type="dxa"/>
            <w:shd w:val="clear" w:color="auto" w:fill="auto"/>
            <w:vAlign w:val="center"/>
          </w:tcPr>
          <w:p w14:paraId="55DCD4DC" w14:textId="25018F12" w:rsidR="00DD7B5E" w:rsidRPr="00035A48" w:rsidRDefault="00F64F4E" w:rsidP="0014760B">
            <w:pPr>
              <w:tabs>
                <w:tab w:val="num" w:pos="720"/>
              </w:tabs>
              <w:jc w:val="center"/>
              <w:rPr>
                <w:rFonts w:cs="Arial"/>
                <w:szCs w:val="24"/>
              </w:rPr>
            </w:pPr>
            <w:r>
              <w:rPr>
                <w:rFonts w:cs="Arial"/>
                <w:szCs w:val="24"/>
              </w:rPr>
              <w:t>I</w:t>
            </w:r>
          </w:p>
        </w:tc>
      </w:tr>
      <w:tr w:rsidR="00DD7B5E" w:rsidRPr="00035A48" w14:paraId="378557B0" w14:textId="77777777" w:rsidTr="0065567E">
        <w:trPr>
          <w:trHeight w:val="829"/>
        </w:trPr>
        <w:tc>
          <w:tcPr>
            <w:tcW w:w="7556" w:type="dxa"/>
          </w:tcPr>
          <w:p w14:paraId="0FC3D144" w14:textId="7B94D3CC" w:rsidR="00DD7B5E" w:rsidRDefault="00DD7B5E" w:rsidP="0038131F">
            <w:pPr>
              <w:pStyle w:val="ListParagraph"/>
              <w:numPr>
                <w:ilvl w:val="0"/>
                <w:numId w:val="17"/>
              </w:numPr>
            </w:pPr>
            <w:r>
              <w:t>Up to date knowledge of sustainability</w:t>
            </w:r>
            <w:r w:rsidR="00F24988">
              <w:t>,</w:t>
            </w:r>
            <w:r>
              <w:t xml:space="preserve"> decarbonisation, and inclusive design in the built environment. </w:t>
            </w:r>
          </w:p>
        </w:tc>
        <w:tc>
          <w:tcPr>
            <w:tcW w:w="1526" w:type="dxa"/>
            <w:shd w:val="clear" w:color="auto" w:fill="auto"/>
            <w:vAlign w:val="center"/>
          </w:tcPr>
          <w:p w14:paraId="663FC56A" w14:textId="47DA727E" w:rsidR="00DD7B5E" w:rsidRPr="00035A48" w:rsidRDefault="00F64F4E" w:rsidP="0014760B">
            <w:pPr>
              <w:tabs>
                <w:tab w:val="num" w:pos="720"/>
              </w:tabs>
              <w:jc w:val="center"/>
              <w:rPr>
                <w:rFonts w:cs="Arial"/>
                <w:szCs w:val="24"/>
              </w:rPr>
            </w:pPr>
            <w:r>
              <w:rPr>
                <w:rFonts w:cs="Arial"/>
                <w:szCs w:val="24"/>
              </w:rPr>
              <w:t>I</w:t>
            </w:r>
          </w:p>
        </w:tc>
      </w:tr>
      <w:tr w:rsidR="0065567E" w:rsidRPr="00035A48" w14:paraId="3A4B39F1" w14:textId="77777777" w:rsidTr="0065567E">
        <w:trPr>
          <w:trHeight w:val="557"/>
        </w:trPr>
        <w:tc>
          <w:tcPr>
            <w:tcW w:w="7556" w:type="dxa"/>
          </w:tcPr>
          <w:p w14:paraId="6AC19B34" w14:textId="77777777" w:rsidR="0065567E" w:rsidRPr="00CC3E06" w:rsidRDefault="0065567E" w:rsidP="00CC3E06">
            <w:pPr>
              <w:pStyle w:val="ListParagraph"/>
              <w:tabs>
                <w:tab w:val="num" w:pos="720"/>
              </w:tabs>
              <w:rPr>
                <w:rFonts w:cs="Arial"/>
                <w:b/>
                <w:szCs w:val="24"/>
              </w:rPr>
            </w:pPr>
          </w:p>
          <w:p w14:paraId="206C00EB" w14:textId="77777777" w:rsidR="0065567E" w:rsidRPr="00FC768E" w:rsidRDefault="0065567E" w:rsidP="00FC768E">
            <w:pPr>
              <w:tabs>
                <w:tab w:val="num" w:pos="720"/>
              </w:tabs>
              <w:rPr>
                <w:rFonts w:cs="Arial"/>
                <w:szCs w:val="24"/>
              </w:rPr>
            </w:pPr>
            <w:r w:rsidRPr="00FC768E">
              <w:rPr>
                <w:rFonts w:cs="Arial"/>
                <w:b/>
                <w:szCs w:val="24"/>
              </w:rPr>
              <w:t>Experience:</w:t>
            </w:r>
          </w:p>
        </w:tc>
        <w:tc>
          <w:tcPr>
            <w:tcW w:w="1526" w:type="dxa"/>
            <w:shd w:val="clear" w:color="auto" w:fill="auto"/>
            <w:vAlign w:val="center"/>
          </w:tcPr>
          <w:p w14:paraId="4D75C674" w14:textId="77777777" w:rsidR="0065567E" w:rsidRPr="00035A48" w:rsidRDefault="0065567E" w:rsidP="0014760B">
            <w:pPr>
              <w:tabs>
                <w:tab w:val="num" w:pos="720"/>
              </w:tabs>
              <w:jc w:val="center"/>
              <w:rPr>
                <w:rFonts w:cs="Arial"/>
                <w:szCs w:val="24"/>
              </w:rPr>
            </w:pPr>
          </w:p>
        </w:tc>
      </w:tr>
      <w:tr w:rsidR="0065567E" w:rsidRPr="00035A48" w14:paraId="2C312BF1" w14:textId="77777777" w:rsidTr="0065567E">
        <w:trPr>
          <w:trHeight w:val="271"/>
        </w:trPr>
        <w:tc>
          <w:tcPr>
            <w:tcW w:w="7556" w:type="dxa"/>
          </w:tcPr>
          <w:p w14:paraId="05DBA35C" w14:textId="6BB53A1E" w:rsidR="0065567E" w:rsidRPr="00A12A00" w:rsidRDefault="00DD7B5E" w:rsidP="00A12A00">
            <w:pPr>
              <w:pStyle w:val="ListParagraph"/>
              <w:numPr>
                <w:ilvl w:val="0"/>
                <w:numId w:val="17"/>
              </w:numPr>
            </w:pPr>
            <w:r>
              <w:t xml:space="preserve">Proven leadership experience in facilities or estate management at a senior level. </w:t>
            </w:r>
          </w:p>
        </w:tc>
        <w:tc>
          <w:tcPr>
            <w:tcW w:w="1526" w:type="dxa"/>
            <w:shd w:val="clear" w:color="auto" w:fill="auto"/>
            <w:vAlign w:val="center"/>
          </w:tcPr>
          <w:p w14:paraId="3ED27DCE" w14:textId="0A2E15A8" w:rsidR="0065567E" w:rsidRPr="00035A48" w:rsidRDefault="00F64F4E" w:rsidP="0014760B">
            <w:pPr>
              <w:tabs>
                <w:tab w:val="num" w:pos="720"/>
              </w:tabs>
              <w:jc w:val="center"/>
              <w:rPr>
                <w:rFonts w:cs="Arial"/>
                <w:szCs w:val="24"/>
              </w:rPr>
            </w:pPr>
            <w:r>
              <w:rPr>
                <w:rFonts w:cs="Arial"/>
                <w:szCs w:val="24"/>
              </w:rPr>
              <w:t>S</w:t>
            </w:r>
          </w:p>
        </w:tc>
      </w:tr>
      <w:tr w:rsidR="0065567E" w:rsidRPr="00035A48" w14:paraId="476FD021" w14:textId="77777777" w:rsidTr="0065567E">
        <w:trPr>
          <w:trHeight w:val="271"/>
        </w:trPr>
        <w:tc>
          <w:tcPr>
            <w:tcW w:w="7556" w:type="dxa"/>
          </w:tcPr>
          <w:p w14:paraId="530661BA" w14:textId="6D93A4F2" w:rsidR="00A12A00" w:rsidRPr="00966452" w:rsidRDefault="00DD7B5E" w:rsidP="00966452">
            <w:pPr>
              <w:pStyle w:val="ListParagraph"/>
              <w:numPr>
                <w:ilvl w:val="0"/>
                <w:numId w:val="17"/>
              </w:numPr>
            </w:pPr>
            <w:r>
              <w:t xml:space="preserve">Track record of managing complex capital and revenue budgets. </w:t>
            </w:r>
            <w:r w:rsidR="00A12A00">
              <w:t xml:space="preserve"> </w:t>
            </w:r>
          </w:p>
        </w:tc>
        <w:tc>
          <w:tcPr>
            <w:tcW w:w="1526" w:type="dxa"/>
            <w:shd w:val="clear" w:color="auto" w:fill="auto"/>
            <w:vAlign w:val="center"/>
          </w:tcPr>
          <w:p w14:paraId="4936693B" w14:textId="22671428" w:rsidR="0065567E" w:rsidRPr="00035A48" w:rsidRDefault="00F64F4E" w:rsidP="0014760B">
            <w:pPr>
              <w:tabs>
                <w:tab w:val="num" w:pos="720"/>
              </w:tabs>
              <w:jc w:val="center"/>
              <w:rPr>
                <w:rFonts w:cs="Arial"/>
                <w:szCs w:val="24"/>
              </w:rPr>
            </w:pPr>
            <w:r>
              <w:rPr>
                <w:rFonts w:cs="Arial"/>
                <w:szCs w:val="24"/>
              </w:rPr>
              <w:t>I</w:t>
            </w:r>
          </w:p>
        </w:tc>
      </w:tr>
      <w:tr w:rsidR="0065567E" w:rsidRPr="00035A48" w14:paraId="5A134D8E" w14:textId="77777777" w:rsidTr="0065567E">
        <w:trPr>
          <w:trHeight w:val="271"/>
        </w:trPr>
        <w:tc>
          <w:tcPr>
            <w:tcW w:w="7556" w:type="dxa"/>
          </w:tcPr>
          <w:p w14:paraId="67818CCC" w14:textId="4B68B43C" w:rsidR="0065567E" w:rsidRPr="00966452" w:rsidRDefault="00DD7B5E" w:rsidP="00966452">
            <w:pPr>
              <w:pStyle w:val="ListParagraph"/>
              <w:numPr>
                <w:ilvl w:val="0"/>
                <w:numId w:val="17"/>
              </w:numPr>
            </w:pPr>
            <w:r>
              <w:t xml:space="preserve">Experience in overseeing large scale projects, refurbishments, or relocations. </w:t>
            </w:r>
          </w:p>
        </w:tc>
        <w:tc>
          <w:tcPr>
            <w:tcW w:w="1526" w:type="dxa"/>
            <w:shd w:val="clear" w:color="auto" w:fill="auto"/>
            <w:vAlign w:val="center"/>
          </w:tcPr>
          <w:p w14:paraId="4E136B97" w14:textId="677D07D6" w:rsidR="0065567E" w:rsidRPr="00035A48" w:rsidRDefault="00F64F4E" w:rsidP="0014760B">
            <w:pPr>
              <w:tabs>
                <w:tab w:val="num" w:pos="720"/>
              </w:tabs>
              <w:jc w:val="center"/>
              <w:rPr>
                <w:rFonts w:cs="Arial"/>
                <w:szCs w:val="24"/>
              </w:rPr>
            </w:pPr>
            <w:r>
              <w:rPr>
                <w:rFonts w:cs="Arial"/>
                <w:szCs w:val="24"/>
              </w:rPr>
              <w:t>I</w:t>
            </w:r>
          </w:p>
        </w:tc>
      </w:tr>
      <w:tr w:rsidR="0065567E" w:rsidRPr="00035A48" w14:paraId="4F701FB1" w14:textId="77777777" w:rsidTr="0065567E">
        <w:trPr>
          <w:trHeight w:val="271"/>
        </w:trPr>
        <w:tc>
          <w:tcPr>
            <w:tcW w:w="7556" w:type="dxa"/>
          </w:tcPr>
          <w:p w14:paraId="757D6157" w14:textId="45E17938" w:rsidR="0065567E" w:rsidRPr="00966452" w:rsidRDefault="00DD7B5E" w:rsidP="00966452">
            <w:pPr>
              <w:pStyle w:val="ListParagraph"/>
              <w:numPr>
                <w:ilvl w:val="0"/>
                <w:numId w:val="17"/>
              </w:numPr>
            </w:pPr>
            <w:r>
              <w:t xml:space="preserve">Successfully delivering strategic change and service transformation </w:t>
            </w:r>
            <w:r w:rsidR="00966452">
              <w:t xml:space="preserve"> </w:t>
            </w:r>
          </w:p>
        </w:tc>
        <w:tc>
          <w:tcPr>
            <w:tcW w:w="1526" w:type="dxa"/>
            <w:vAlign w:val="center"/>
          </w:tcPr>
          <w:p w14:paraId="00AEDD65" w14:textId="42A29D9E" w:rsidR="0065567E" w:rsidRPr="00035A48" w:rsidRDefault="00F64F4E" w:rsidP="0014760B">
            <w:pPr>
              <w:tabs>
                <w:tab w:val="num" w:pos="720"/>
              </w:tabs>
              <w:jc w:val="center"/>
              <w:rPr>
                <w:rFonts w:cs="Arial"/>
                <w:szCs w:val="24"/>
              </w:rPr>
            </w:pPr>
            <w:r>
              <w:rPr>
                <w:rFonts w:cs="Arial"/>
                <w:szCs w:val="24"/>
              </w:rPr>
              <w:t>I</w:t>
            </w:r>
          </w:p>
        </w:tc>
      </w:tr>
      <w:tr w:rsidR="00DD7B5E" w:rsidRPr="00035A48" w14:paraId="2E40CD84" w14:textId="77777777" w:rsidTr="0065567E">
        <w:trPr>
          <w:trHeight w:val="271"/>
        </w:trPr>
        <w:tc>
          <w:tcPr>
            <w:tcW w:w="7556" w:type="dxa"/>
          </w:tcPr>
          <w:p w14:paraId="7C8745FE" w14:textId="4FB46D70" w:rsidR="00DD7B5E" w:rsidRDefault="00DD7B5E" w:rsidP="00966452">
            <w:pPr>
              <w:pStyle w:val="ListParagraph"/>
              <w:numPr>
                <w:ilvl w:val="0"/>
                <w:numId w:val="17"/>
              </w:numPr>
            </w:pPr>
            <w:r>
              <w:t xml:space="preserve">Working with political leaders, senior executives and external stakeholders in a high-profile environment. </w:t>
            </w:r>
          </w:p>
        </w:tc>
        <w:tc>
          <w:tcPr>
            <w:tcW w:w="1526" w:type="dxa"/>
            <w:vAlign w:val="center"/>
          </w:tcPr>
          <w:p w14:paraId="6C951483" w14:textId="7385A06B" w:rsidR="00DD7B5E" w:rsidRPr="00035A48" w:rsidRDefault="00F64F4E" w:rsidP="0014760B">
            <w:pPr>
              <w:tabs>
                <w:tab w:val="num" w:pos="720"/>
              </w:tabs>
              <w:jc w:val="center"/>
              <w:rPr>
                <w:rFonts w:cs="Arial"/>
                <w:szCs w:val="24"/>
              </w:rPr>
            </w:pPr>
            <w:r>
              <w:rPr>
                <w:rFonts w:cs="Arial"/>
                <w:szCs w:val="24"/>
              </w:rPr>
              <w:t>I</w:t>
            </w:r>
          </w:p>
        </w:tc>
      </w:tr>
      <w:tr w:rsidR="0065567E" w:rsidRPr="00035A48" w14:paraId="3FAAAA96" w14:textId="77777777" w:rsidTr="0065567E">
        <w:trPr>
          <w:trHeight w:val="542"/>
        </w:trPr>
        <w:tc>
          <w:tcPr>
            <w:tcW w:w="7556" w:type="dxa"/>
          </w:tcPr>
          <w:p w14:paraId="5021FBFB" w14:textId="77777777" w:rsidR="0065567E" w:rsidRPr="00CC3E06" w:rsidRDefault="0065567E" w:rsidP="00CC3E06">
            <w:pPr>
              <w:pStyle w:val="ListParagraph"/>
              <w:tabs>
                <w:tab w:val="num" w:pos="720"/>
              </w:tabs>
              <w:rPr>
                <w:rFonts w:cs="Arial"/>
                <w:b/>
                <w:szCs w:val="24"/>
              </w:rPr>
            </w:pPr>
            <w:r>
              <w:rPr>
                <w:rFonts w:asciiTheme="minorHAnsi" w:eastAsiaTheme="minorHAnsi" w:hAnsiTheme="minorHAnsi" w:cstheme="minorBidi"/>
                <w:sz w:val="22"/>
                <w:szCs w:val="22"/>
                <w:lang w:eastAsia="en-US"/>
              </w:rPr>
              <w:br w:type="page"/>
            </w:r>
          </w:p>
          <w:p w14:paraId="42CCB815" w14:textId="77777777" w:rsidR="0065567E" w:rsidRPr="00FC768E" w:rsidRDefault="0065567E" w:rsidP="00FC768E">
            <w:r w:rsidRPr="00FC768E">
              <w:rPr>
                <w:rFonts w:cs="Arial"/>
                <w:b/>
                <w:szCs w:val="24"/>
              </w:rPr>
              <w:t>Aptitudes, Skills &amp; Competencies:</w:t>
            </w:r>
          </w:p>
        </w:tc>
        <w:tc>
          <w:tcPr>
            <w:tcW w:w="1526" w:type="dxa"/>
            <w:vAlign w:val="center"/>
          </w:tcPr>
          <w:p w14:paraId="2BD9053C" w14:textId="77777777" w:rsidR="0065567E" w:rsidRPr="00035A48" w:rsidRDefault="0065567E" w:rsidP="0014760B">
            <w:pPr>
              <w:tabs>
                <w:tab w:val="num" w:pos="720"/>
              </w:tabs>
              <w:jc w:val="center"/>
              <w:rPr>
                <w:rFonts w:cs="Arial"/>
                <w:szCs w:val="24"/>
              </w:rPr>
            </w:pPr>
          </w:p>
        </w:tc>
      </w:tr>
      <w:tr w:rsidR="0065567E" w:rsidRPr="00035A48" w14:paraId="1EB7705E" w14:textId="77777777" w:rsidTr="0065567E">
        <w:trPr>
          <w:trHeight w:val="271"/>
        </w:trPr>
        <w:tc>
          <w:tcPr>
            <w:tcW w:w="7556" w:type="dxa"/>
            <w:vAlign w:val="center"/>
          </w:tcPr>
          <w:p w14:paraId="115F0387" w14:textId="451CB992" w:rsidR="0065567E" w:rsidRPr="00966452" w:rsidRDefault="00DD7B5E" w:rsidP="00966452">
            <w:pPr>
              <w:pStyle w:val="ListParagraph"/>
              <w:numPr>
                <w:ilvl w:val="0"/>
                <w:numId w:val="17"/>
              </w:numPr>
              <w:rPr>
                <w:rFonts w:cs="Arial"/>
                <w:szCs w:val="24"/>
              </w:rPr>
            </w:pPr>
            <w:r>
              <w:rPr>
                <w:rFonts w:cs="Arial"/>
                <w:szCs w:val="24"/>
              </w:rPr>
              <w:t>Excellent interpersonal and communication skills, able to influence and negotiate at all levels</w:t>
            </w:r>
          </w:p>
        </w:tc>
        <w:tc>
          <w:tcPr>
            <w:tcW w:w="1526" w:type="dxa"/>
            <w:vAlign w:val="center"/>
          </w:tcPr>
          <w:p w14:paraId="605B040E" w14:textId="686829E5" w:rsidR="0065567E" w:rsidRPr="00035A48" w:rsidRDefault="00F64F4E" w:rsidP="0014760B">
            <w:pPr>
              <w:tabs>
                <w:tab w:val="num" w:pos="720"/>
              </w:tabs>
              <w:jc w:val="center"/>
              <w:rPr>
                <w:rFonts w:cs="Arial"/>
                <w:szCs w:val="24"/>
              </w:rPr>
            </w:pPr>
            <w:r>
              <w:rPr>
                <w:rFonts w:cs="Arial"/>
                <w:szCs w:val="24"/>
              </w:rPr>
              <w:t>I</w:t>
            </w:r>
          </w:p>
        </w:tc>
      </w:tr>
      <w:tr w:rsidR="0065567E" w:rsidRPr="00035A48" w14:paraId="4DC5918D" w14:textId="77777777" w:rsidTr="0065567E">
        <w:trPr>
          <w:trHeight w:val="271"/>
        </w:trPr>
        <w:tc>
          <w:tcPr>
            <w:tcW w:w="7556" w:type="dxa"/>
            <w:vAlign w:val="center"/>
          </w:tcPr>
          <w:p w14:paraId="7E5E9379" w14:textId="2555F777" w:rsidR="0065567E" w:rsidRPr="00966452" w:rsidRDefault="00DD7B5E" w:rsidP="00966452">
            <w:pPr>
              <w:pStyle w:val="ListParagraph"/>
              <w:numPr>
                <w:ilvl w:val="0"/>
                <w:numId w:val="17"/>
              </w:numPr>
              <w:rPr>
                <w:rFonts w:cs="Arial"/>
                <w:szCs w:val="24"/>
              </w:rPr>
            </w:pPr>
            <w:r>
              <w:rPr>
                <w:rFonts w:cs="Arial"/>
                <w:szCs w:val="24"/>
              </w:rPr>
              <w:t xml:space="preserve">Strong analytical and </w:t>
            </w:r>
            <w:proofErr w:type="gramStart"/>
            <w:r>
              <w:rPr>
                <w:rFonts w:cs="Arial"/>
                <w:szCs w:val="24"/>
              </w:rPr>
              <w:t>decision making</w:t>
            </w:r>
            <w:proofErr w:type="gramEnd"/>
            <w:r>
              <w:rPr>
                <w:rFonts w:cs="Arial"/>
                <w:szCs w:val="24"/>
              </w:rPr>
              <w:t xml:space="preserve"> skills </w:t>
            </w:r>
          </w:p>
        </w:tc>
        <w:tc>
          <w:tcPr>
            <w:tcW w:w="1526" w:type="dxa"/>
            <w:vAlign w:val="center"/>
          </w:tcPr>
          <w:p w14:paraId="4911DFDA" w14:textId="7F1C2E4C" w:rsidR="0065567E" w:rsidRPr="00035A48" w:rsidRDefault="00F64F4E" w:rsidP="0014760B">
            <w:pPr>
              <w:tabs>
                <w:tab w:val="num" w:pos="720"/>
              </w:tabs>
              <w:jc w:val="center"/>
              <w:rPr>
                <w:rFonts w:cs="Arial"/>
                <w:szCs w:val="24"/>
              </w:rPr>
            </w:pPr>
            <w:r>
              <w:rPr>
                <w:rFonts w:cs="Arial"/>
                <w:szCs w:val="24"/>
              </w:rPr>
              <w:t>I</w:t>
            </w:r>
          </w:p>
        </w:tc>
      </w:tr>
      <w:tr w:rsidR="0065567E" w:rsidRPr="00035A48" w14:paraId="16FAB275" w14:textId="77777777" w:rsidTr="0065567E">
        <w:trPr>
          <w:trHeight w:val="271"/>
        </w:trPr>
        <w:tc>
          <w:tcPr>
            <w:tcW w:w="7556" w:type="dxa"/>
            <w:vAlign w:val="center"/>
          </w:tcPr>
          <w:p w14:paraId="1C00890F" w14:textId="648199B9" w:rsidR="0065567E" w:rsidRPr="00966452" w:rsidRDefault="00194E2A" w:rsidP="00966452">
            <w:pPr>
              <w:pStyle w:val="ListParagraph"/>
              <w:numPr>
                <w:ilvl w:val="0"/>
                <w:numId w:val="17"/>
              </w:numPr>
            </w:pPr>
            <w:r>
              <w:t xml:space="preserve">Confident </w:t>
            </w:r>
            <w:r w:rsidR="00F64F4E">
              <w:t xml:space="preserve">leadership style with a collaborative and empowering approach </w:t>
            </w:r>
            <w:r>
              <w:t xml:space="preserve"> </w:t>
            </w:r>
          </w:p>
        </w:tc>
        <w:tc>
          <w:tcPr>
            <w:tcW w:w="1526" w:type="dxa"/>
            <w:vAlign w:val="center"/>
          </w:tcPr>
          <w:p w14:paraId="3FBED4E9" w14:textId="77292054" w:rsidR="0065567E" w:rsidRPr="00035A48" w:rsidRDefault="00F64F4E" w:rsidP="0014760B">
            <w:pPr>
              <w:tabs>
                <w:tab w:val="num" w:pos="720"/>
              </w:tabs>
              <w:jc w:val="center"/>
              <w:rPr>
                <w:rFonts w:cs="Arial"/>
                <w:szCs w:val="24"/>
              </w:rPr>
            </w:pPr>
            <w:r>
              <w:rPr>
                <w:rFonts w:cs="Arial"/>
                <w:szCs w:val="24"/>
              </w:rPr>
              <w:t>I</w:t>
            </w:r>
          </w:p>
        </w:tc>
      </w:tr>
      <w:tr w:rsidR="0065567E" w:rsidRPr="00035A48" w14:paraId="6999C961" w14:textId="77777777" w:rsidTr="0065567E">
        <w:trPr>
          <w:trHeight w:val="286"/>
        </w:trPr>
        <w:tc>
          <w:tcPr>
            <w:tcW w:w="7556" w:type="dxa"/>
            <w:vAlign w:val="center"/>
          </w:tcPr>
          <w:p w14:paraId="6265E660" w14:textId="698D6EEB" w:rsidR="0065567E" w:rsidRPr="00194E2A" w:rsidRDefault="00F64F4E" w:rsidP="00194E2A">
            <w:pPr>
              <w:pStyle w:val="ListParagraph"/>
              <w:numPr>
                <w:ilvl w:val="0"/>
                <w:numId w:val="17"/>
              </w:numPr>
              <w:rPr>
                <w:rFonts w:cs="Arial"/>
                <w:szCs w:val="24"/>
              </w:rPr>
            </w:pPr>
            <w:r>
              <w:rPr>
                <w:rFonts w:cs="Arial"/>
                <w:szCs w:val="24"/>
              </w:rPr>
              <w:t xml:space="preserve">Commitment to innovation, customer service and innovation </w:t>
            </w:r>
          </w:p>
        </w:tc>
        <w:tc>
          <w:tcPr>
            <w:tcW w:w="1526" w:type="dxa"/>
            <w:vAlign w:val="center"/>
          </w:tcPr>
          <w:p w14:paraId="1A848973" w14:textId="7FCA2721" w:rsidR="0065567E" w:rsidRPr="00035A48" w:rsidRDefault="00F64F4E" w:rsidP="0014760B">
            <w:pPr>
              <w:tabs>
                <w:tab w:val="num" w:pos="720"/>
              </w:tabs>
              <w:jc w:val="center"/>
              <w:rPr>
                <w:rFonts w:cs="Arial"/>
                <w:szCs w:val="24"/>
              </w:rPr>
            </w:pPr>
            <w:r>
              <w:rPr>
                <w:rFonts w:cs="Arial"/>
                <w:szCs w:val="24"/>
              </w:rPr>
              <w:t>I</w:t>
            </w:r>
          </w:p>
        </w:tc>
      </w:tr>
      <w:tr w:rsidR="00F64F4E" w:rsidRPr="00035A48" w14:paraId="09AD330A" w14:textId="77777777" w:rsidTr="0065567E">
        <w:trPr>
          <w:trHeight w:val="286"/>
        </w:trPr>
        <w:tc>
          <w:tcPr>
            <w:tcW w:w="7556" w:type="dxa"/>
            <w:vAlign w:val="center"/>
          </w:tcPr>
          <w:p w14:paraId="4B764AF1" w14:textId="627E62ED" w:rsidR="00F64F4E" w:rsidRDefault="00F64F4E" w:rsidP="00194E2A">
            <w:pPr>
              <w:pStyle w:val="ListParagraph"/>
              <w:numPr>
                <w:ilvl w:val="0"/>
                <w:numId w:val="17"/>
              </w:numPr>
              <w:rPr>
                <w:rFonts w:cs="Arial"/>
                <w:szCs w:val="24"/>
              </w:rPr>
            </w:pPr>
            <w:r>
              <w:rPr>
                <w:rFonts w:cs="Arial"/>
                <w:szCs w:val="24"/>
              </w:rPr>
              <w:t>Ability to balance competing priorities and deliver to tight deadlines</w:t>
            </w:r>
          </w:p>
        </w:tc>
        <w:tc>
          <w:tcPr>
            <w:tcW w:w="1526" w:type="dxa"/>
            <w:vAlign w:val="center"/>
          </w:tcPr>
          <w:p w14:paraId="1425D01A" w14:textId="094C1D7E" w:rsidR="00F64F4E" w:rsidRPr="00035A48" w:rsidRDefault="00F64F4E" w:rsidP="0014760B">
            <w:pPr>
              <w:tabs>
                <w:tab w:val="num" w:pos="720"/>
              </w:tabs>
              <w:jc w:val="center"/>
              <w:rPr>
                <w:rFonts w:cs="Arial"/>
                <w:szCs w:val="24"/>
              </w:rPr>
            </w:pPr>
            <w:r>
              <w:rPr>
                <w:rFonts w:cs="Arial"/>
                <w:szCs w:val="24"/>
              </w:rPr>
              <w:t>I</w:t>
            </w:r>
          </w:p>
        </w:tc>
      </w:tr>
      <w:tr w:rsidR="0065567E" w:rsidRPr="00035A48" w14:paraId="46E1048A" w14:textId="77777777" w:rsidTr="0065567E">
        <w:trPr>
          <w:trHeight w:val="542"/>
        </w:trPr>
        <w:tc>
          <w:tcPr>
            <w:tcW w:w="7556" w:type="dxa"/>
          </w:tcPr>
          <w:p w14:paraId="4BCF8ED1" w14:textId="77777777" w:rsidR="0065567E" w:rsidRPr="00035A48" w:rsidRDefault="0065567E" w:rsidP="0014760B">
            <w:pPr>
              <w:tabs>
                <w:tab w:val="num" w:pos="720"/>
              </w:tabs>
              <w:rPr>
                <w:rFonts w:cs="Arial"/>
                <w:b/>
                <w:szCs w:val="24"/>
              </w:rPr>
            </w:pPr>
          </w:p>
          <w:p w14:paraId="74A6B613" w14:textId="77777777" w:rsidR="0065567E" w:rsidRPr="00035A48" w:rsidRDefault="0065567E" w:rsidP="0014760B">
            <w:r w:rsidRPr="00035A48">
              <w:rPr>
                <w:rFonts w:cs="Arial"/>
                <w:b/>
                <w:szCs w:val="24"/>
              </w:rPr>
              <w:t>Special Conditions of Recruitment:</w:t>
            </w:r>
          </w:p>
        </w:tc>
        <w:tc>
          <w:tcPr>
            <w:tcW w:w="1526" w:type="dxa"/>
            <w:vAlign w:val="center"/>
          </w:tcPr>
          <w:p w14:paraId="3C23DCF9" w14:textId="77777777" w:rsidR="0065567E" w:rsidRPr="00035A48" w:rsidRDefault="0065567E" w:rsidP="0014760B">
            <w:pPr>
              <w:tabs>
                <w:tab w:val="num" w:pos="720"/>
              </w:tabs>
              <w:jc w:val="center"/>
              <w:rPr>
                <w:rFonts w:cs="Arial"/>
                <w:szCs w:val="24"/>
              </w:rPr>
            </w:pPr>
          </w:p>
        </w:tc>
      </w:tr>
      <w:tr w:rsidR="0065567E" w:rsidRPr="00035A48" w14:paraId="7AA8B44A" w14:textId="77777777" w:rsidTr="0065567E">
        <w:trPr>
          <w:trHeight w:val="542"/>
        </w:trPr>
        <w:tc>
          <w:tcPr>
            <w:tcW w:w="7556" w:type="dxa"/>
            <w:vAlign w:val="center"/>
          </w:tcPr>
          <w:p w14:paraId="4177F1EF" w14:textId="77777777" w:rsidR="0065567E" w:rsidRPr="00035A48" w:rsidRDefault="0065567E" w:rsidP="0014760B">
            <w:pPr>
              <w:tabs>
                <w:tab w:val="num" w:pos="720"/>
              </w:tabs>
              <w:rPr>
                <w:rFonts w:cs="Arial"/>
                <w:szCs w:val="24"/>
              </w:rPr>
            </w:pPr>
            <w:r w:rsidRPr="00035A48">
              <w:rPr>
                <w:rFonts w:cs="Arial"/>
                <w:szCs w:val="24"/>
              </w:rPr>
              <w:t>Comply with and promote the Council’s Equal</w:t>
            </w:r>
            <w:r>
              <w:rPr>
                <w:rFonts w:cs="Arial"/>
                <w:szCs w:val="24"/>
              </w:rPr>
              <w:t>ity and Diversity policies</w:t>
            </w:r>
          </w:p>
        </w:tc>
        <w:tc>
          <w:tcPr>
            <w:tcW w:w="1526" w:type="dxa"/>
            <w:vAlign w:val="center"/>
          </w:tcPr>
          <w:p w14:paraId="74FBCB07" w14:textId="48143208" w:rsidR="0065567E" w:rsidRPr="00035A48" w:rsidRDefault="00F64F4E" w:rsidP="0014760B">
            <w:pPr>
              <w:tabs>
                <w:tab w:val="num" w:pos="720"/>
              </w:tabs>
              <w:jc w:val="center"/>
              <w:rPr>
                <w:rFonts w:cs="Arial"/>
                <w:szCs w:val="24"/>
              </w:rPr>
            </w:pPr>
            <w:r>
              <w:rPr>
                <w:rFonts w:cs="Arial"/>
                <w:szCs w:val="24"/>
              </w:rPr>
              <w:t>I</w:t>
            </w:r>
          </w:p>
        </w:tc>
      </w:tr>
      <w:tr w:rsidR="0065567E" w:rsidRPr="00035A48" w14:paraId="47B4366F" w14:textId="77777777" w:rsidTr="0065567E">
        <w:trPr>
          <w:trHeight w:val="557"/>
        </w:trPr>
        <w:tc>
          <w:tcPr>
            <w:tcW w:w="7556" w:type="dxa"/>
            <w:vAlign w:val="center"/>
          </w:tcPr>
          <w:p w14:paraId="351978B0" w14:textId="77777777" w:rsidR="0065567E" w:rsidRPr="00035A48" w:rsidRDefault="0065567E" w:rsidP="0014760B">
            <w:pPr>
              <w:tabs>
                <w:tab w:val="num" w:pos="720"/>
              </w:tabs>
              <w:rPr>
                <w:rFonts w:cs="Arial"/>
                <w:szCs w:val="24"/>
              </w:rPr>
            </w:pPr>
            <w:r w:rsidRPr="00035A48">
              <w:t>Attendance at meetings outside of office hours as and when required</w:t>
            </w:r>
          </w:p>
        </w:tc>
        <w:tc>
          <w:tcPr>
            <w:tcW w:w="1526" w:type="dxa"/>
            <w:vAlign w:val="center"/>
          </w:tcPr>
          <w:p w14:paraId="51551284" w14:textId="5252C042" w:rsidR="0065567E" w:rsidRPr="00035A48" w:rsidRDefault="0065567E" w:rsidP="0014760B">
            <w:pPr>
              <w:tabs>
                <w:tab w:val="num" w:pos="720"/>
              </w:tabs>
              <w:jc w:val="center"/>
              <w:rPr>
                <w:rFonts w:cs="Arial"/>
                <w:szCs w:val="24"/>
              </w:rPr>
            </w:pPr>
          </w:p>
        </w:tc>
      </w:tr>
    </w:tbl>
    <w:p w14:paraId="67990A0D" w14:textId="77777777" w:rsidR="002E57E8" w:rsidRPr="00035A48" w:rsidRDefault="002E57E8" w:rsidP="002E57E8">
      <w:pPr>
        <w:tabs>
          <w:tab w:val="num" w:pos="720"/>
        </w:tabs>
        <w:spacing w:after="0" w:line="240" w:lineRule="auto"/>
        <w:ind w:left="720" w:hanging="720"/>
        <w:rPr>
          <w:rFonts w:ascii="Arial" w:eastAsia="Times New Roman" w:hAnsi="Arial" w:cs="Arial"/>
          <w:sz w:val="24"/>
          <w:szCs w:val="24"/>
        </w:rPr>
      </w:pPr>
    </w:p>
    <w:p w14:paraId="75238ABB" w14:textId="77777777" w:rsidR="002E57E8" w:rsidRPr="00035A48" w:rsidRDefault="005E6D08" w:rsidP="002E57E8">
      <w:pPr>
        <w:tabs>
          <w:tab w:val="num" w:pos="720"/>
        </w:tabs>
        <w:spacing w:after="0" w:line="240" w:lineRule="auto"/>
        <w:ind w:left="720" w:hanging="720"/>
        <w:rPr>
          <w:rFonts w:ascii="Arial" w:eastAsia="Times New Roman" w:hAnsi="Arial" w:cs="Arial"/>
          <w:b/>
          <w:sz w:val="24"/>
          <w:szCs w:val="24"/>
        </w:rPr>
      </w:pPr>
      <w:r>
        <w:rPr>
          <w:rFonts w:ascii="Arial" w:eastAsia="Times New Roman" w:hAnsi="Arial" w:cs="Arial"/>
          <w:b/>
          <w:sz w:val="24"/>
          <w:szCs w:val="24"/>
        </w:rPr>
        <w:t>Key:</w:t>
      </w:r>
      <w:r>
        <w:rPr>
          <w:rFonts w:ascii="Arial" w:eastAsia="Times New Roman" w:hAnsi="Arial" w:cs="Arial"/>
          <w:b/>
          <w:sz w:val="24"/>
          <w:szCs w:val="24"/>
        </w:rPr>
        <w:tab/>
      </w:r>
      <w:r>
        <w:rPr>
          <w:rFonts w:ascii="Arial" w:eastAsia="Times New Roman" w:hAnsi="Arial" w:cs="Arial"/>
          <w:b/>
          <w:sz w:val="24"/>
          <w:szCs w:val="24"/>
        </w:rPr>
        <w:tab/>
      </w:r>
      <w:r w:rsidR="002E57E8" w:rsidRPr="00035A48">
        <w:rPr>
          <w:rFonts w:ascii="Arial" w:eastAsia="Times New Roman" w:hAnsi="Arial" w:cs="Arial"/>
          <w:b/>
          <w:sz w:val="24"/>
          <w:szCs w:val="24"/>
        </w:rPr>
        <w:t>S</w:t>
      </w:r>
      <w:r w:rsidR="002E57E8" w:rsidRPr="00035A48">
        <w:rPr>
          <w:rFonts w:ascii="Arial" w:eastAsia="Times New Roman" w:hAnsi="Arial" w:cs="Arial"/>
          <w:b/>
          <w:sz w:val="24"/>
          <w:szCs w:val="24"/>
        </w:rPr>
        <w:tab/>
      </w:r>
      <w:r w:rsidR="002E57E8" w:rsidRPr="00035A48">
        <w:rPr>
          <w:rFonts w:ascii="Arial" w:eastAsia="Times New Roman" w:hAnsi="Arial" w:cs="Arial"/>
          <w:sz w:val="24"/>
          <w:szCs w:val="24"/>
        </w:rPr>
        <w:t>Shortlisting criteria</w:t>
      </w:r>
      <w:r w:rsidR="00CC3E06" w:rsidRPr="00CC3E06">
        <w:rPr>
          <w:rFonts w:ascii="Arial" w:eastAsia="Times New Roman" w:hAnsi="Arial" w:cs="Arial"/>
          <w:b/>
          <w:sz w:val="24"/>
          <w:szCs w:val="24"/>
        </w:rPr>
        <w:t xml:space="preserve"> </w:t>
      </w:r>
      <w:r w:rsidR="00CC3E06" w:rsidRPr="00035A48">
        <w:rPr>
          <w:rFonts w:ascii="Arial" w:eastAsia="Times New Roman" w:hAnsi="Arial" w:cs="Arial"/>
          <w:b/>
          <w:sz w:val="24"/>
          <w:szCs w:val="24"/>
        </w:rPr>
        <w:tab/>
      </w:r>
      <w:r w:rsidR="00CC3E06">
        <w:rPr>
          <w:rFonts w:ascii="Arial" w:eastAsia="Times New Roman" w:hAnsi="Arial" w:cs="Arial"/>
          <w:b/>
          <w:sz w:val="24"/>
          <w:szCs w:val="24"/>
        </w:rPr>
        <w:t xml:space="preserve"> I </w:t>
      </w:r>
      <w:r w:rsidR="00CC3E06">
        <w:rPr>
          <w:rFonts w:ascii="Arial" w:eastAsia="Times New Roman" w:hAnsi="Arial" w:cs="Arial"/>
          <w:b/>
          <w:sz w:val="24"/>
          <w:szCs w:val="24"/>
        </w:rPr>
        <w:tab/>
      </w:r>
      <w:r w:rsidR="00CC3E06" w:rsidRPr="00035A48">
        <w:rPr>
          <w:rFonts w:ascii="Arial" w:eastAsia="Times New Roman" w:hAnsi="Arial" w:cs="Arial"/>
          <w:sz w:val="24"/>
          <w:szCs w:val="24"/>
        </w:rPr>
        <w:t>Evaluated at interview</w:t>
      </w:r>
    </w:p>
    <w:p w14:paraId="6F8E2B5B" w14:textId="46B30044" w:rsidR="002E57E8" w:rsidRPr="00035A48" w:rsidRDefault="002E57E8" w:rsidP="002E57E8">
      <w:pPr>
        <w:tabs>
          <w:tab w:val="num" w:pos="720"/>
        </w:tabs>
        <w:spacing w:after="0" w:line="240" w:lineRule="auto"/>
        <w:ind w:left="720" w:hanging="720"/>
        <w:rPr>
          <w:rFonts w:ascii="Arial" w:eastAsia="Times New Roman" w:hAnsi="Arial" w:cs="Arial"/>
          <w:b/>
          <w:sz w:val="24"/>
          <w:szCs w:val="24"/>
        </w:rPr>
      </w:pPr>
      <w:r w:rsidRPr="00035A48">
        <w:rPr>
          <w:rFonts w:ascii="Arial" w:eastAsia="Times New Roman" w:hAnsi="Arial" w:cs="Arial"/>
          <w:b/>
          <w:sz w:val="24"/>
          <w:szCs w:val="24"/>
        </w:rPr>
        <w:tab/>
      </w:r>
      <w:r w:rsidRPr="00035A48">
        <w:rPr>
          <w:rFonts w:ascii="Arial" w:eastAsia="Times New Roman" w:hAnsi="Arial" w:cs="Arial"/>
          <w:b/>
          <w:sz w:val="24"/>
          <w:szCs w:val="24"/>
        </w:rPr>
        <w:tab/>
      </w:r>
      <w:r w:rsidR="00CC3E06" w:rsidRPr="00035A48">
        <w:rPr>
          <w:rFonts w:ascii="Arial" w:eastAsia="Times New Roman" w:hAnsi="Arial" w:cs="Arial"/>
          <w:b/>
          <w:sz w:val="24"/>
          <w:szCs w:val="24"/>
        </w:rPr>
        <w:t>T</w:t>
      </w:r>
      <w:r w:rsidR="00CC3E06" w:rsidRPr="00035A48">
        <w:rPr>
          <w:rFonts w:ascii="Arial" w:eastAsia="Times New Roman" w:hAnsi="Arial" w:cs="Arial"/>
          <w:b/>
          <w:sz w:val="24"/>
          <w:szCs w:val="24"/>
        </w:rPr>
        <w:tab/>
      </w:r>
      <w:r w:rsidR="00CC3E06" w:rsidRPr="00035A48">
        <w:rPr>
          <w:rFonts w:ascii="Arial" w:eastAsia="Times New Roman" w:hAnsi="Arial" w:cs="Arial"/>
          <w:sz w:val="24"/>
          <w:szCs w:val="24"/>
        </w:rPr>
        <w:t>Subject to test</w:t>
      </w:r>
    </w:p>
    <w:p w14:paraId="3C2232FA" w14:textId="77777777" w:rsidR="008D08D4" w:rsidRPr="002E57E8" w:rsidRDefault="002E57E8" w:rsidP="004E5CF2">
      <w:pPr>
        <w:tabs>
          <w:tab w:val="num" w:pos="720"/>
        </w:tabs>
        <w:spacing w:after="0" w:line="240" w:lineRule="auto"/>
        <w:ind w:left="720" w:hanging="720"/>
        <w:rPr>
          <w:rFonts w:ascii="Arial" w:hAnsi="Arial" w:cs="Arial"/>
        </w:rPr>
      </w:pPr>
      <w:r w:rsidRPr="00035A48">
        <w:rPr>
          <w:rFonts w:ascii="Arial" w:eastAsia="Times New Roman" w:hAnsi="Arial" w:cs="Arial"/>
          <w:b/>
          <w:sz w:val="24"/>
          <w:szCs w:val="24"/>
        </w:rPr>
        <w:tab/>
      </w:r>
      <w:r w:rsidRPr="00035A48">
        <w:rPr>
          <w:rFonts w:ascii="Arial" w:eastAsia="Times New Roman" w:hAnsi="Arial" w:cs="Arial"/>
          <w:b/>
          <w:sz w:val="24"/>
          <w:szCs w:val="24"/>
        </w:rPr>
        <w:tab/>
      </w:r>
      <w:r w:rsidRPr="00035A48">
        <w:rPr>
          <w:rFonts w:ascii="Arial" w:eastAsia="Times New Roman" w:hAnsi="Arial" w:cs="Arial"/>
          <w:b/>
          <w:sz w:val="24"/>
          <w:szCs w:val="24"/>
        </w:rPr>
        <w:tab/>
      </w:r>
      <w:r w:rsidRPr="00035A48">
        <w:rPr>
          <w:rFonts w:ascii="Arial" w:eastAsia="Times New Roman" w:hAnsi="Arial" w:cs="Arial"/>
          <w:b/>
          <w:sz w:val="24"/>
          <w:szCs w:val="24"/>
        </w:rPr>
        <w:tab/>
      </w:r>
      <w:r w:rsidRPr="00035A48">
        <w:rPr>
          <w:rFonts w:ascii="Arial" w:eastAsia="Times New Roman" w:hAnsi="Arial" w:cs="Arial"/>
          <w:b/>
          <w:sz w:val="24"/>
          <w:szCs w:val="24"/>
        </w:rPr>
        <w:tab/>
      </w:r>
      <w:r w:rsidRPr="00035A48">
        <w:rPr>
          <w:rFonts w:ascii="Arial" w:eastAsia="Times New Roman" w:hAnsi="Arial" w:cs="Arial"/>
          <w:b/>
          <w:sz w:val="24"/>
          <w:szCs w:val="24"/>
        </w:rPr>
        <w:tab/>
      </w:r>
    </w:p>
    <w:sectPr w:rsidR="008D08D4" w:rsidRPr="002E57E8" w:rsidSect="008605FE">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E89B" w14:textId="77777777" w:rsidR="00905312" w:rsidRDefault="00905312" w:rsidP="008605FE">
      <w:pPr>
        <w:spacing w:after="0" w:line="240" w:lineRule="auto"/>
      </w:pPr>
      <w:r>
        <w:separator/>
      </w:r>
    </w:p>
  </w:endnote>
  <w:endnote w:type="continuationSeparator" w:id="0">
    <w:p w14:paraId="4F46F3AC" w14:textId="77777777" w:rsidR="00905312" w:rsidRDefault="00905312" w:rsidP="008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15C8" w14:textId="77777777" w:rsidR="00104A9E" w:rsidRPr="006D45C9" w:rsidRDefault="00104A9E" w:rsidP="00104A9E">
    <w:pPr>
      <w:spacing w:after="0" w:line="240" w:lineRule="auto"/>
      <w:ind w:right="-330"/>
      <w:jc w:val="both"/>
      <w:rPr>
        <w:rFonts w:ascii="Arial" w:eastAsia="Calibri" w:hAnsi="Arial" w:cs="Arial"/>
        <w:b/>
        <w:bCs/>
        <w:color w:val="1F497D"/>
        <w:sz w:val="20"/>
        <w:szCs w:val="20"/>
        <w:lang w:eastAsia="en-GB"/>
      </w:rPr>
    </w:pPr>
    <w:r w:rsidRPr="006D45C9">
      <w:rPr>
        <w:rFonts w:ascii="Arial" w:eastAsia="Calibri" w:hAnsi="Arial" w:cs="Arial"/>
        <w:b/>
        <w:bCs/>
        <w:sz w:val="20"/>
        <w:szCs w:val="20"/>
        <w:lang w:eastAsia="en-GB"/>
      </w:rPr>
      <w:t xml:space="preserve">Southwark Council values: </w:t>
    </w:r>
    <w:r w:rsidRPr="006D45C9">
      <w:rPr>
        <w:rFonts w:ascii="Arial" w:eastAsia="Calibri" w:hAnsi="Arial" w:cs="Arial"/>
        <w:b/>
        <w:bCs/>
        <w:color w:val="F79646"/>
        <w:sz w:val="20"/>
        <w:szCs w:val="20"/>
        <w:lang w:eastAsia="en-GB"/>
      </w:rPr>
      <w:t>Treating residents as if they were a valued member of your own family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FFC000"/>
        <w:sz w:val="20"/>
        <w:szCs w:val="20"/>
        <w:lang w:eastAsia="en-GB"/>
      </w:rPr>
      <w:t>Being open, honest and accountable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00B050"/>
        <w:sz w:val="20"/>
        <w:szCs w:val="20"/>
        <w:lang w:eastAsia="en-GB"/>
      </w:rPr>
      <w:t>Spending money as if it was your own |</w:t>
    </w:r>
    <w:r w:rsidRPr="006D45C9">
      <w:rPr>
        <w:rFonts w:ascii="Arial" w:eastAsia="Calibri" w:hAnsi="Arial" w:cs="Arial"/>
        <w:b/>
        <w:bCs/>
        <w:color w:val="1F497D"/>
        <w:sz w:val="20"/>
        <w:szCs w:val="20"/>
        <w:lang w:eastAsia="en-GB"/>
      </w:rPr>
      <w:t xml:space="preserve"> Working for everyone to realise their own potential | </w:t>
    </w:r>
    <w:r w:rsidRPr="006D45C9">
      <w:rPr>
        <w:rFonts w:ascii="Arial" w:eastAsia="Calibri" w:hAnsi="Arial" w:cs="Arial"/>
        <w:b/>
        <w:bCs/>
        <w:color w:val="943634"/>
        <w:sz w:val="20"/>
        <w:szCs w:val="20"/>
        <w:lang w:eastAsia="en-GB"/>
      </w:rPr>
      <w:t>Making Southwark a place to be proud of</w:t>
    </w:r>
    <w:r w:rsidRPr="006D45C9">
      <w:rPr>
        <w:rFonts w:ascii="Arial" w:eastAsia="Calibri" w:hAnsi="Arial" w:cs="Arial"/>
        <w:b/>
        <w:bCs/>
        <w:color w:val="833C0B"/>
        <w:sz w:val="20"/>
        <w:szCs w:val="20"/>
        <w:lang w:eastAsia="en-GB"/>
      </w:rPr>
      <w:t xml:space="preserve"> | </w:t>
    </w:r>
    <w:r w:rsidRPr="006D45C9">
      <w:rPr>
        <w:rFonts w:ascii="Arial" w:eastAsia="Calibri" w:hAnsi="Arial" w:cs="Arial"/>
        <w:b/>
        <w:bCs/>
        <w:color w:val="00B0F0"/>
        <w:sz w:val="20"/>
        <w:szCs w:val="20"/>
        <w:lang w:eastAsia="en-GB"/>
      </w:rPr>
      <w:t xml:space="preserve">Always work to make Southwark more equal and just | </w:t>
    </w:r>
    <w:r w:rsidRPr="006D45C9">
      <w:rPr>
        <w:rFonts w:ascii="Arial" w:eastAsia="Calibri" w:hAnsi="Arial" w:cs="Arial"/>
        <w:b/>
        <w:bCs/>
        <w:color w:val="7030A0"/>
        <w:sz w:val="20"/>
        <w:szCs w:val="20"/>
        <w:lang w:eastAsia="en-GB"/>
      </w:rPr>
      <w:t>Stand against all forms of discrimination and racism</w:t>
    </w:r>
  </w:p>
  <w:p w14:paraId="63607EF5" w14:textId="77777777" w:rsidR="00104A9E" w:rsidRDefault="0010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74D7" w14:textId="77777777" w:rsidR="00905312" w:rsidRDefault="00905312" w:rsidP="008605FE">
      <w:pPr>
        <w:spacing w:after="0" w:line="240" w:lineRule="auto"/>
      </w:pPr>
      <w:r>
        <w:separator/>
      </w:r>
    </w:p>
  </w:footnote>
  <w:footnote w:type="continuationSeparator" w:id="0">
    <w:p w14:paraId="43D13446" w14:textId="77777777" w:rsidR="00905312" w:rsidRDefault="00905312" w:rsidP="0086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C7E9" w14:textId="51962175" w:rsidR="008605FE" w:rsidRDefault="00560542">
    <w:pPr>
      <w:pStyle w:val="Header"/>
    </w:pPr>
    <w:r>
      <w:rPr>
        <w:noProof/>
      </w:rPr>
      <w:drawing>
        <wp:anchor distT="0" distB="0" distL="114300" distR="114300" simplePos="0" relativeHeight="251657216" behindDoc="0" locked="0" layoutInCell="1" allowOverlap="1" wp14:anchorId="2566DE66" wp14:editId="50474DB4">
          <wp:simplePos x="0" y="0"/>
          <wp:positionH relativeFrom="margin">
            <wp:align>right</wp:align>
          </wp:positionH>
          <wp:positionV relativeFrom="paragraph">
            <wp:posOffset>-69215</wp:posOffset>
          </wp:positionV>
          <wp:extent cx="1152525" cy="513080"/>
          <wp:effectExtent l="0" t="0" r="9525" b="1270"/>
          <wp:wrapSquare wrapText="bothSides"/>
          <wp:docPr id="1345033488" name="Picture 1" descr="Southwark Health of the Borough Event - Community Southw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ark Health of the Borough Event - Community Southw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5FE">
      <w:tab/>
    </w:r>
    <w:r w:rsidR="008605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12C33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2" w15:restartNumberingAfterBreak="0">
    <w:nsid w:val="12BA0FA7"/>
    <w:multiLevelType w:val="hybridMultilevel"/>
    <w:tmpl w:val="681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AD383C"/>
    <w:multiLevelType w:val="hybridMultilevel"/>
    <w:tmpl w:val="A9F8FC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54193"/>
    <w:multiLevelType w:val="hybridMultilevel"/>
    <w:tmpl w:val="EC32DD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754D1F"/>
    <w:multiLevelType w:val="hybridMultilevel"/>
    <w:tmpl w:val="C5C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F07CC"/>
    <w:multiLevelType w:val="hybridMultilevel"/>
    <w:tmpl w:val="BE7E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06F5D"/>
    <w:multiLevelType w:val="hybridMultilevel"/>
    <w:tmpl w:val="8788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475D9"/>
    <w:multiLevelType w:val="hybridMultilevel"/>
    <w:tmpl w:val="B46E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A01F42"/>
    <w:multiLevelType w:val="hybridMultilevel"/>
    <w:tmpl w:val="B0E83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1D32D7"/>
    <w:multiLevelType w:val="hybridMultilevel"/>
    <w:tmpl w:val="1C184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4362C3"/>
    <w:multiLevelType w:val="hybridMultilevel"/>
    <w:tmpl w:val="1F64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8A6D85"/>
    <w:multiLevelType w:val="hybridMultilevel"/>
    <w:tmpl w:val="D0B0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873B7"/>
    <w:multiLevelType w:val="hybridMultilevel"/>
    <w:tmpl w:val="2C10CE4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29A44AD"/>
    <w:multiLevelType w:val="hybridMultilevel"/>
    <w:tmpl w:val="59C69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A11884"/>
    <w:multiLevelType w:val="hybridMultilevel"/>
    <w:tmpl w:val="AFE2FE48"/>
    <w:lvl w:ilvl="0" w:tplc="E564B30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407E4"/>
    <w:multiLevelType w:val="hybridMultilevel"/>
    <w:tmpl w:val="A9F8FC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A6898"/>
    <w:multiLevelType w:val="hybridMultilevel"/>
    <w:tmpl w:val="C380BC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30538491">
    <w:abstractNumId w:val="1"/>
  </w:num>
  <w:num w:numId="2" w16cid:durableId="2067532426">
    <w:abstractNumId w:val="8"/>
  </w:num>
  <w:num w:numId="3" w16cid:durableId="108398520">
    <w:abstractNumId w:val="5"/>
  </w:num>
  <w:num w:numId="4" w16cid:durableId="1408069443">
    <w:abstractNumId w:val="2"/>
  </w:num>
  <w:num w:numId="5" w16cid:durableId="483591631">
    <w:abstractNumId w:val="3"/>
  </w:num>
  <w:num w:numId="6" w16cid:durableId="1960331898">
    <w:abstractNumId w:val="11"/>
  </w:num>
  <w:num w:numId="7" w16cid:durableId="556358149">
    <w:abstractNumId w:val="9"/>
  </w:num>
  <w:num w:numId="8" w16cid:durableId="1513714842">
    <w:abstractNumId w:val="4"/>
  </w:num>
  <w:num w:numId="9" w16cid:durableId="1554808104">
    <w:abstractNumId w:val="0"/>
  </w:num>
  <w:num w:numId="10" w16cid:durableId="1235823133">
    <w:abstractNumId w:val="7"/>
  </w:num>
  <w:num w:numId="11" w16cid:durableId="1235627023">
    <w:abstractNumId w:val="12"/>
  </w:num>
  <w:num w:numId="12" w16cid:durableId="1812549981">
    <w:abstractNumId w:val="17"/>
  </w:num>
  <w:num w:numId="13" w16cid:durableId="104037337">
    <w:abstractNumId w:val="16"/>
  </w:num>
  <w:num w:numId="14" w16cid:durableId="1844665581">
    <w:abstractNumId w:val="10"/>
  </w:num>
  <w:num w:numId="15" w16cid:durableId="192034464">
    <w:abstractNumId w:val="13"/>
  </w:num>
  <w:num w:numId="16" w16cid:durableId="712777661">
    <w:abstractNumId w:val="6"/>
  </w:num>
  <w:num w:numId="17" w16cid:durableId="649602324">
    <w:abstractNumId w:val="14"/>
  </w:num>
  <w:num w:numId="18" w16cid:durableId="9396012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07C0D"/>
    <w:rsid w:val="0001479B"/>
    <w:rsid w:val="0002122E"/>
    <w:rsid w:val="00033076"/>
    <w:rsid w:val="00035A48"/>
    <w:rsid w:val="00065D82"/>
    <w:rsid w:val="000978BE"/>
    <w:rsid w:val="000C5E9D"/>
    <w:rsid w:val="000F29CE"/>
    <w:rsid w:val="000F4DCC"/>
    <w:rsid w:val="001030A4"/>
    <w:rsid w:val="00104A9E"/>
    <w:rsid w:val="001062EC"/>
    <w:rsid w:val="0013260F"/>
    <w:rsid w:val="00144BB5"/>
    <w:rsid w:val="0014760B"/>
    <w:rsid w:val="0016454F"/>
    <w:rsid w:val="00170F84"/>
    <w:rsid w:val="001713FE"/>
    <w:rsid w:val="00173568"/>
    <w:rsid w:val="00190DDA"/>
    <w:rsid w:val="00194E2A"/>
    <w:rsid w:val="00196273"/>
    <w:rsid w:val="001A603E"/>
    <w:rsid w:val="001A6FDF"/>
    <w:rsid w:val="001B3ED1"/>
    <w:rsid w:val="001C6594"/>
    <w:rsid w:val="001C6DBD"/>
    <w:rsid w:val="001E082A"/>
    <w:rsid w:val="001F044D"/>
    <w:rsid w:val="002022F8"/>
    <w:rsid w:val="00210ABE"/>
    <w:rsid w:val="00221D03"/>
    <w:rsid w:val="00224090"/>
    <w:rsid w:val="00244C8E"/>
    <w:rsid w:val="002468D3"/>
    <w:rsid w:val="002609A8"/>
    <w:rsid w:val="00260D89"/>
    <w:rsid w:val="002C5701"/>
    <w:rsid w:val="002E57E8"/>
    <w:rsid w:val="002E5AA7"/>
    <w:rsid w:val="002F1BFA"/>
    <w:rsid w:val="002F4D71"/>
    <w:rsid w:val="0030727A"/>
    <w:rsid w:val="00324554"/>
    <w:rsid w:val="00325168"/>
    <w:rsid w:val="0034235E"/>
    <w:rsid w:val="0034422B"/>
    <w:rsid w:val="00347BB8"/>
    <w:rsid w:val="003578EF"/>
    <w:rsid w:val="00361F5F"/>
    <w:rsid w:val="00364F07"/>
    <w:rsid w:val="00371475"/>
    <w:rsid w:val="0038131F"/>
    <w:rsid w:val="003C649C"/>
    <w:rsid w:val="003D647A"/>
    <w:rsid w:val="003F695E"/>
    <w:rsid w:val="00401DC4"/>
    <w:rsid w:val="0041230B"/>
    <w:rsid w:val="00422FCC"/>
    <w:rsid w:val="00426A25"/>
    <w:rsid w:val="00430E84"/>
    <w:rsid w:val="0043353D"/>
    <w:rsid w:val="00450BB2"/>
    <w:rsid w:val="00454402"/>
    <w:rsid w:val="00476B52"/>
    <w:rsid w:val="00484444"/>
    <w:rsid w:val="004B31E5"/>
    <w:rsid w:val="004C1BD5"/>
    <w:rsid w:val="004C3C8D"/>
    <w:rsid w:val="004D5E0E"/>
    <w:rsid w:val="004E5CF2"/>
    <w:rsid w:val="00504ABC"/>
    <w:rsid w:val="00510CA6"/>
    <w:rsid w:val="00530BC6"/>
    <w:rsid w:val="005566AB"/>
    <w:rsid w:val="00560542"/>
    <w:rsid w:val="00577073"/>
    <w:rsid w:val="00582B9A"/>
    <w:rsid w:val="00585289"/>
    <w:rsid w:val="00587971"/>
    <w:rsid w:val="0059663C"/>
    <w:rsid w:val="005A092B"/>
    <w:rsid w:val="005B4383"/>
    <w:rsid w:val="005B44CA"/>
    <w:rsid w:val="005C466B"/>
    <w:rsid w:val="005D1D99"/>
    <w:rsid w:val="005D2470"/>
    <w:rsid w:val="005E6D08"/>
    <w:rsid w:val="005F2E84"/>
    <w:rsid w:val="005F5A4E"/>
    <w:rsid w:val="005F61BD"/>
    <w:rsid w:val="0060734C"/>
    <w:rsid w:val="00614505"/>
    <w:rsid w:val="00620649"/>
    <w:rsid w:val="006212DF"/>
    <w:rsid w:val="006272B1"/>
    <w:rsid w:val="0064130D"/>
    <w:rsid w:val="00646606"/>
    <w:rsid w:val="00646E48"/>
    <w:rsid w:val="00654D7E"/>
    <w:rsid w:val="0065567E"/>
    <w:rsid w:val="00672AE9"/>
    <w:rsid w:val="00676357"/>
    <w:rsid w:val="0068181E"/>
    <w:rsid w:val="006B4A67"/>
    <w:rsid w:val="006E1272"/>
    <w:rsid w:val="006E3273"/>
    <w:rsid w:val="006F5ABD"/>
    <w:rsid w:val="007107C4"/>
    <w:rsid w:val="00716F08"/>
    <w:rsid w:val="0072785C"/>
    <w:rsid w:val="00736AEE"/>
    <w:rsid w:val="00756DE3"/>
    <w:rsid w:val="00765C3E"/>
    <w:rsid w:val="00780C91"/>
    <w:rsid w:val="007929EA"/>
    <w:rsid w:val="0079315E"/>
    <w:rsid w:val="007969B5"/>
    <w:rsid w:val="00797527"/>
    <w:rsid w:val="007A6893"/>
    <w:rsid w:val="007C47C2"/>
    <w:rsid w:val="007E0210"/>
    <w:rsid w:val="007E7EC7"/>
    <w:rsid w:val="007F125D"/>
    <w:rsid w:val="007F7697"/>
    <w:rsid w:val="00850511"/>
    <w:rsid w:val="008605FE"/>
    <w:rsid w:val="00861B6F"/>
    <w:rsid w:val="00874B14"/>
    <w:rsid w:val="00883D08"/>
    <w:rsid w:val="00887287"/>
    <w:rsid w:val="008A5524"/>
    <w:rsid w:val="008B75F6"/>
    <w:rsid w:val="008B7C88"/>
    <w:rsid w:val="008D08D4"/>
    <w:rsid w:val="008E7A02"/>
    <w:rsid w:val="008F19F1"/>
    <w:rsid w:val="00902E4F"/>
    <w:rsid w:val="00905312"/>
    <w:rsid w:val="00906421"/>
    <w:rsid w:val="009072B7"/>
    <w:rsid w:val="009171F0"/>
    <w:rsid w:val="009304AC"/>
    <w:rsid w:val="00966452"/>
    <w:rsid w:val="009670D7"/>
    <w:rsid w:val="009A1752"/>
    <w:rsid w:val="009A2936"/>
    <w:rsid w:val="009C2A3E"/>
    <w:rsid w:val="009C3C92"/>
    <w:rsid w:val="009C4D22"/>
    <w:rsid w:val="009E0ACF"/>
    <w:rsid w:val="009E4140"/>
    <w:rsid w:val="009F5538"/>
    <w:rsid w:val="00A12A00"/>
    <w:rsid w:val="00A308D8"/>
    <w:rsid w:val="00A30EB6"/>
    <w:rsid w:val="00A40CEC"/>
    <w:rsid w:val="00A45CE1"/>
    <w:rsid w:val="00A45D63"/>
    <w:rsid w:val="00A46033"/>
    <w:rsid w:val="00A46C94"/>
    <w:rsid w:val="00A7771B"/>
    <w:rsid w:val="00A82B25"/>
    <w:rsid w:val="00A8397A"/>
    <w:rsid w:val="00A87948"/>
    <w:rsid w:val="00A949E3"/>
    <w:rsid w:val="00A953A0"/>
    <w:rsid w:val="00A97C44"/>
    <w:rsid w:val="00AC5076"/>
    <w:rsid w:val="00AE07F4"/>
    <w:rsid w:val="00AF4870"/>
    <w:rsid w:val="00B01813"/>
    <w:rsid w:val="00B23941"/>
    <w:rsid w:val="00B2770E"/>
    <w:rsid w:val="00B30AD1"/>
    <w:rsid w:val="00B32777"/>
    <w:rsid w:val="00B37DEF"/>
    <w:rsid w:val="00B40D85"/>
    <w:rsid w:val="00B45EC7"/>
    <w:rsid w:val="00B51C55"/>
    <w:rsid w:val="00B54549"/>
    <w:rsid w:val="00B55DFA"/>
    <w:rsid w:val="00B55E2E"/>
    <w:rsid w:val="00B607B5"/>
    <w:rsid w:val="00B71981"/>
    <w:rsid w:val="00B73200"/>
    <w:rsid w:val="00B75984"/>
    <w:rsid w:val="00B75B04"/>
    <w:rsid w:val="00B80AFC"/>
    <w:rsid w:val="00B9172B"/>
    <w:rsid w:val="00BA3632"/>
    <w:rsid w:val="00BB545E"/>
    <w:rsid w:val="00BC1A5D"/>
    <w:rsid w:val="00BC2808"/>
    <w:rsid w:val="00BD21ED"/>
    <w:rsid w:val="00BD56E7"/>
    <w:rsid w:val="00C01548"/>
    <w:rsid w:val="00C065FC"/>
    <w:rsid w:val="00C15A34"/>
    <w:rsid w:val="00C449F4"/>
    <w:rsid w:val="00C5210E"/>
    <w:rsid w:val="00C54BD0"/>
    <w:rsid w:val="00C6556E"/>
    <w:rsid w:val="00C95729"/>
    <w:rsid w:val="00CC3E06"/>
    <w:rsid w:val="00CE2EC7"/>
    <w:rsid w:val="00CF40B3"/>
    <w:rsid w:val="00D16436"/>
    <w:rsid w:val="00D26614"/>
    <w:rsid w:val="00D368A2"/>
    <w:rsid w:val="00D44D0C"/>
    <w:rsid w:val="00D45B1E"/>
    <w:rsid w:val="00D50D43"/>
    <w:rsid w:val="00D558FE"/>
    <w:rsid w:val="00D57927"/>
    <w:rsid w:val="00D61EDD"/>
    <w:rsid w:val="00D749AA"/>
    <w:rsid w:val="00D86A17"/>
    <w:rsid w:val="00D97A69"/>
    <w:rsid w:val="00DA4F7B"/>
    <w:rsid w:val="00DA55D6"/>
    <w:rsid w:val="00DC1B6B"/>
    <w:rsid w:val="00DC21CE"/>
    <w:rsid w:val="00DD058E"/>
    <w:rsid w:val="00DD2C42"/>
    <w:rsid w:val="00DD486A"/>
    <w:rsid w:val="00DD7879"/>
    <w:rsid w:val="00DD7B5E"/>
    <w:rsid w:val="00DE1A99"/>
    <w:rsid w:val="00DF134A"/>
    <w:rsid w:val="00DF758F"/>
    <w:rsid w:val="00E06DE0"/>
    <w:rsid w:val="00E11EAD"/>
    <w:rsid w:val="00E37A79"/>
    <w:rsid w:val="00E407BC"/>
    <w:rsid w:val="00E41FB9"/>
    <w:rsid w:val="00E43335"/>
    <w:rsid w:val="00E507E9"/>
    <w:rsid w:val="00E934AB"/>
    <w:rsid w:val="00EA4D96"/>
    <w:rsid w:val="00EC2778"/>
    <w:rsid w:val="00F20D91"/>
    <w:rsid w:val="00F23DF2"/>
    <w:rsid w:val="00F24988"/>
    <w:rsid w:val="00F42B37"/>
    <w:rsid w:val="00F522FA"/>
    <w:rsid w:val="00F5395F"/>
    <w:rsid w:val="00F60CE5"/>
    <w:rsid w:val="00F64F4E"/>
    <w:rsid w:val="00F837C9"/>
    <w:rsid w:val="00FA3D6D"/>
    <w:rsid w:val="00FB0498"/>
    <w:rsid w:val="00FB1102"/>
    <w:rsid w:val="00FC697A"/>
    <w:rsid w:val="00FC768E"/>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75749"/>
  <w15:docId w15:val="{1EA504CE-7ED7-4A19-81B4-473D550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7C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86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E"/>
  </w:style>
  <w:style w:type="paragraph" w:styleId="Footer">
    <w:name w:val="footer"/>
    <w:basedOn w:val="Normal"/>
    <w:link w:val="FooterChar"/>
    <w:uiPriority w:val="99"/>
    <w:unhideWhenUsed/>
    <w:rsid w:val="0086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E"/>
  </w:style>
  <w:style w:type="character" w:customStyle="1" w:styleId="Heading2Char">
    <w:name w:val="Heading 2 Char"/>
    <w:basedOn w:val="DefaultParagraphFont"/>
    <w:link w:val="Heading2"/>
    <w:uiPriority w:val="9"/>
    <w:semiHidden/>
    <w:rsid w:val="00A97C4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97C4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2F4D71"/>
    <w:pPr>
      <w:spacing w:after="120"/>
    </w:pPr>
  </w:style>
  <w:style w:type="character" w:customStyle="1" w:styleId="BodyTextChar">
    <w:name w:val="Body Text Char"/>
    <w:basedOn w:val="DefaultParagraphFont"/>
    <w:link w:val="BodyText"/>
    <w:uiPriority w:val="99"/>
    <w:semiHidden/>
    <w:rsid w:val="002F4D71"/>
  </w:style>
  <w:style w:type="paragraph" w:styleId="Revision">
    <w:name w:val="Revision"/>
    <w:hidden/>
    <w:uiPriority w:val="99"/>
    <w:semiHidden/>
    <w:rsid w:val="00F24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95241363">
      <w:bodyDiv w:val="1"/>
      <w:marLeft w:val="0"/>
      <w:marRight w:val="0"/>
      <w:marTop w:val="0"/>
      <w:marBottom w:val="0"/>
      <w:divBdr>
        <w:top w:val="none" w:sz="0" w:space="0" w:color="auto"/>
        <w:left w:val="none" w:sz="0" w:space="0" w:color="auto"/>
        <w:bottom w:val="none" w:sz="0" w:space="0" w:color="auto"/>
        <w:right w:val="none" w:sz="0" w:space="0" w:color="auto"/>
      </w:divBdr>
    </w:div>
    <w:div w:id="538471225">
      <w:bodyDiv w:val="1"/>
      <w:marLeft w:val="0"/>
      <w:marRight w:val="0"/>
      <w:marTop w:val="0"/>
      <w:marBottom w:val="0"/>
      <w:divBdr>
        <w:top w:val="none" w:sz="0" w:space="0" w:color="auto"/>
        <w:left w:val="none" w:sz="0" w:space="0" w:color="auto"/>
        <w:bottom w:val="none" w:sz="0" w:space="0" w:color="auto"/>
        <w:right w:val="none" w:sz="0" w:space="0" w:color="auto"/>
      </w:divBdr>
    </w:div>
    <w:div w:id="1022827049">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 w:id="20732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c4dd2099-9045-4afe-b326-2569af220673" ContentTypeId="0x0101003497413E2D05F042B9941905DCC5295C" PreviousValue="false" LastSyncTimeStamp="2024-05-03T13:58:07.62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Intranet document" ma:contentTypeID="0x0101003497413E2D05F042B9941905DCC5295C008B69889E1CDD8E4A8EB20D1C248064D4" ma:contentTypeVersion="4" ma:contentTypeDescription="" ma:contentTypeScope="" ma:versionID="b792a3ea6c6e28595f367f94aa3fe47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0D8B4-EEA8-4D36-AF14-0FD7989EAAD2}">
  <ds:schemaRefs>
    <ds:schemaRef ds:uri="http://schemas.microsoft.com/sharepoint/v3/contenttype/forms"/>
  </ds:schemaRefs>
</ds:datastoreItem>
</file>

<file path=customXml/itemProps2.xml><?xml version="1.0" encoding="utf-8"?>
<ds:datastoreItem xmlns:ds="http://schemas.openxmlformats.org/officeDocument/2006/customXml" ds:itemID="{CE90122E-4EAC-48BD-A3C8-3B05E89028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46302-3DD4-434A-B3CE-220689888ECE}">
  <ds:schemaRefs>
    <ds:schemaRef ds:uri="Microsoft.SharePoint.Taxonomy.ContentTypeSync"/>
  </ds:schemaRefs>
</ds:datastoreItem>
</file>

<file path=customXml/itemProps4.xml><?xml version="1.0" encoding="utf-8"?>
<ds:datastoreItem xmlns:ds="http://schemas.openxmlformats.org/officeDocument/2006/customXml" ds:itemID="{43E428BD-7199-4D7A-86FF-776D60E1B6CA}">
  <ds:schemaRefs>
    <ds:schemaRef ds:uri="http://schemas.openxmlformats.org/officeDocument/2006/bibliography"/>
  </ds:schemaRefs>
</ds:datastoreItem>
</file>

<file path=customXml/itemProps5.xml><?xml version="1.0" encoding="utf-8"?>
<ds:datastoreItem xmlns:ds="http://schemas.openxmlformats.org/officeDocument/2006/customXml" ds:itemID="{B057E4C8-0B12-4723-B0A9-D31BC1C1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1162</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Clement</dc:creator>
  <cp:lastModifiedBy>Luchowa, Irvin</cp:lastModifiedBy>
  <cp:revision>2</cp:revision>
  <cp:lastPrinted>2018-11-02T14:59:00Z</cp:lastPrinted>
  <dcterms:created xsi:type="dcterms:W3CDTF">2025-07-05T11:18:00Z</dcterms:created>
  <dcterms:modified xsi:type="dcterms:W3CDTF">2025-07-05T11:18:00Z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0x0101003497413E2D05F042B9941905DCC5295C008B69889E1CDD8E4A8EB20D1C248064D4</vt:lpwstr>
  </property>
  <property fmtid="{D5CDD505-2E9C-101B-9397-08002B2CF9AE}" pid="3" name="GrammarlyDocumentId">
    <vt:lpwstr>89f7d089e11384bf310f18a8e2c5d66572b997a0eb028409dd325f743104e403</vt:lpwstr>
  </property>
</Properties>
</file>