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17A" w:rsidRPr="005F305C" w:rsidRDefault="00CD017A" w:rsidP="00CD017A">
      <w:pPr>
        <w:pStyle w:val="NormalWeb"/>
        <w:spacing w:before="0" w:beforeAutospacing="0" w:after="120" w:afterAutospacing="0"/>
        <w:rPr>
          <w:rFonts w:ascii="Tw Cen MT" w:hAnsi="Tw Cen MT"/>
        </w:rPr>
      </w:pPr>
      <w:r>
        <w:rPr>
          <w:noProof/>
        </w:rPr>
        <w:drawing>
          <wp:inline distT="0" distB="0" distL="0" distR="0">
            <wp:extent cx="1417642" cy="62495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2927" cy="649322"/>
                    </a:xfrm>
                    <a:prstGeom prst="rect">
                      <a:avLst/>
                    </a:prstGeom>
                  </pic:spPr>
                </pic:pic>
              </a:graphicData>
            </a:graphic>
          </wp:inline>
        </w:drawing>
      </w:r>
    </w:p>
    <w:p w:rsidR="00CD017A" w:rsidRPr="005F305C" w:rsidRDefault="00CD017A" w:rsidP="00CD017A">
      <w:pPr>
        <w:pStyle w:val="NormalWeb"/>
        <w:spacing w:before="0" w:beforeAutospacing="0" w:after="120" w:afterAutospacing="0"/>
        <w:rPr>
          <w:rFonts w:ascii="Tw Cen MT" w:hAnsi="Tw Cen MT"/>
          <w:color w:val="7030A0"/>
        </w:rPr>
      </w:pPr>
      <w:r w:rsidRPr="005F305C">
        <w:rPr>
          <w:rFonts w:ascii="Tw Cen MT" w:hAnsi="Tw Cen MT" w:cs="Arial"/>
          <w:b/>
          <w:bCs/>
          <w:color w:val="7030A0"/>
        </w:rPr>
        <w:t>Edith Kerrison Nursery School and Children’s centre</w:t>
      </w:r>
    </w:p>
    <w:p w:rsidR="00CD017A" w:rsidRPr="005F305C" w:rsidRDefault="00141057" w:rsidP="00CD017A">
      <w:pPr>
        <w:pStyle w:val="NormalWeb"/>
        <w:spacing w:before="0" w:beforeAutospacing="0" w:after="480" w:afterAutospacing="0"/>
        <w:rPr>
          <w:rFonts w:ascii="Tw Cen MT" w:hAnsi="Tw Cen MT"/>
          <w:color w:val="44546A" w:themeColor="text2"/>
        </w:rPr>
      </w:pPr>
      <w:r w:rsidRPr="005F305C">
        <w:rPr>
          <w:rFonts w:ascii="Tw Cen MT" w:hAnsi="Tw Cen MT" w:cs="Arial"/>
          <w:b/>
          <w:bCs/>
          <w:color w:val="44546A" w:themeColor="text2"/>
        </w:rPr>
        <w:t xml:space="preserve">Person Specification - </w:t>
      </w:r>
      <w:r w:rsidR="00CD017A" w:rsidRPr="005F305C">
        <w:rPr>
          <w:rFonts w:ascii="Tw Cen MT" w:hAnsi="Tw Cen MT" w:cs="Arial"/>
          <w:b/>
          <w:bCs/>
          <w:color w:val="44546A" w:themeColor="text2"/>
        </w:rPr>
        <w:t>Deputy Head</w:t>
      </w:r>
      <w:r w:rsidR="00083C46" w:rsidRPr="005F305C">
        <w:rPr>
          <w:rFonts w:ascii="Tw Cen MT" w:hAnsi="Tw Cen MT" w:cs="Arial"/>
          <w:b/>
          <w:bCs/>
          <w:color w:val="44546A" w:themeColor="text2"/>
        </w:rPr>
        <w:t xml:space="preserve"> T</w:t>
      </w:r>
      <w:r w:rsidR="00CD017A" w:rsidRPr="005F305C">
        <w:rPr>
          <w:rFonts w:ascii="Tw Cen MT" w:hAnsi="Tw Cen MT" w:cs="Arial"/>
          <w:b/>
          <w:bCs/>
          <w:color w:val="44546A" w:themeColor="text2"/>
        </w:rPr>
        <w:t xml:space="preserve">eacher with </w:t>
      </w:r>
      <w:proofErr w:type="spellStart"/>
      <w:r w:rsidR="00CD017A" w:rsidRPr="005F305C">
        <w:rPr>
          <w:rFonts w:ascii="Tw Cen MT" w:hAnsi="Tw Cen MT" w:cs="Arial"/>
          <w:b/>
          <w:bCs/>
          <w:color w:val="44546A" w:themeColor="text2"/>
        </w:rPr>
        <w:t>SENDCo</w:t>
      </w:r>
      <w:proofErr w:type="spellEnd"/>
      <w:r w:rsidR="00CD017A" w:rsidRPr="005F305C">
        <w:rPr>
          <w:rFonts w:ascii="Tw Cen MT" w:hAnsi="Tw Cen MT" w:cs="Arial"/>
          <w:b/>
          <w:bCs/>
          <w:color w:val="44546A" w:themeColor="text2"/>
        </w:rPr>
        <w:t xml:space="preserve"> responsibility</w:t>
      </w:r>
    </w:p>
    <w:p w:rsidR="00141057" w:rsidRPr="005F305C" w:rsidRDefault="00141057" w:rsidP="00141057">
      <w:pPr>
        <w:tabs>
          <w:tab w:val="left" w:pos="0"/>
          <w:tab w:val="left" w:pos="8789"/>
        </w:tabs>
        <w:jc w:val="both"/>
        <w:rPr>
          <w:rFonts w:ascii="Tw Cen MT" w:hAnsi="Tw Cen MT" w:cs="Arial"/>
          <w:sz w:val="24"/>
          <w:szCs w:val="24"/>
        </w:rPr>
      </w:pPr>
      <w:r w:rsidRPr="005F305C">
        <w:rPr>
          <w:rFonts w:ascii="Tw Cen MT" w:hAnsi="Tw Cen MT" w:cs="Arial"/>
          <w:sz w:val="24"/>
          <w:szCs w:val="24"/>
        </w:rPr>
        <w:t xml:space="preserve">We will base the selection process on these criteria.  At each stage of the process, we will assess the merits of each application to determine how far the criteria have been met.  </w:t>
      </w:r>
    </w:p>
    <w:p w:rsidR="00141057" w:rsidRPr="005F305C" w:rsidRDefault="00141057" w:rsidP="00141057">
      <w:pPr>
        <w:tabs>
          <w:tab w:val="left" w:pos="0"/>
          <w:tab w:val="left" w:pos="8789"/>
        </w:tabs>
        <w:jc w:val="both"/>
        <w:rPr>
          <w:rFonts w:ascii="Tw Cen MT" w:hAnsi="Tw Cen MT" w:cs="Arial"/>
          <w:sz w:val="24"/>
          <w:szCs w:val="24"/>
        </w:rPr>
      </w:pPr>
    </w:p>
    <w:p w:rsidR="00141057" w:rsidRPr="005F305C" w:rsidRDefault="00141057" w:rsidP="00141057">
      <w:pPr>
        <w:tabs>
          <w:tab w:val="left" w:pos="0"/>
          <w:tab w:val="left" w:pos="8789"/>
        </w:tabs>
        <w:jc w:val="both"/>
        <w:rPr>
          <w:rFonts w:ascii="Tw Cen MT" w:hAnsi="Tw Cen MT" w:cs="Arial"/>
          <w:sz w:val="24"/>
          <w:szCs w:val="24"/>
        </w:rPr>
      </w:pPr>
      <w:r w:rsidRPr="005F305C">
        <w:rPr>
          <w:rFonts w:ascii="Tw Cen MT" w:hAnsi="Tw Cen MT" w:cs="Arial"/>
          <w:sz w:val="24"/>
          <w:szCs w:val="24"/>
        </w:rPr>
        <w:t>Beside each criterion we list the assessment method we will use.</w:t>
      </w:r>
    </w:p>
    <w:p w:rsidR="00141057" w:rsidRPr="005F305C" w:rsidRDefault="00141057" w:rsidP="00141057">
      <w:pPr>
        <w:rPr>
          <w:rFonts w:ascii="Tw Cen MT" w:hAnsi="Tw Cen MT" w:cs="Arial"/>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6237"/>
        <w:gridCol w:w="3544"/>
      </w:tblGrid>
      <w:tr w:rsidR="00141057" w:rsidRPr="005F305C" w:rsidTr="00694A15">
        <w:trPr>
          <w:trHeight w:val="295"/>
        </w:trPr>
        <w:tc>
          <w:tcPr>
            <w:tcW w:w="392" w:type="dxa"/>
            <w:shd w:val="clear" w:color="auto" w:fill="auto"/>
          </w:tcPr>
          <w:p w:rsidR="00141057" w:rsidRPr="005F305C" w:rsidRDefault="00141057" w:rsidP="00694A15">
            <w:pPr>
              <w:spacing w:before="60" w:after="60"/>
              <w:rPr>
                <w:rFonts w:ascii="Tw Cen MT" w:hAnsi="Tw Cen MT" w:cs="Arial"/>
                <w:b/>
                <w:sz w:val="24"/>
                <w:szCs w:val="24"/>
              </w:rPr>
            </w:pPr>
          </w:p>
        </w:tc>
        <w:tc>
          <w:tcPr>
            <w:tcW w:w="6237" w:type="dxa"/>
            <w:shd w:val="clear" w:color="auto" w:fill="auto"/>
          </w:tcPr>
          <w:p w:rsidR="00141057" w:rsidRPr="005F305C" w:rsidRDefault="00141057" w:rsidP="00694A15">
            <w:pPr>
              <w:spacing w:before="60" w:after="60"/>
              <w:rPr>
                <w:rFonts w:ascii="Tw Cen MT" w:hAnsi="Tw Cen MT" w:cs="Arial"/>
                <w:b/>
                <w:sz w:val="24"/>
                <w:szCs w:val="24"/>
              </w:rPr>
            </w:pPr>
            <w:r w:rsidRPr="005F305C">
              <w:rPr>
                <w:rFonts w:ascii="Tw Cen MT" w:hAnsi="Tw Cen MT" w:cs="Arial"/>
                <w:b/>
                <w:sz w:val="24"/>
                <w:szCs w:val="24"/>
              </w:rPr>
              <w:t>Requirement</w:t>
            </w:r>
          </w:p>
        </w:tc>
        <w:tc>
          <w:tcPr>
            <w:tcW w:w="3544" w:type="dxa"/>
            <w:shd w:val="clear" w:color="auto" w:fill="auto"/>
          </w:tcPr>
          <w:p w:rsidR="00141057" w:rsidRPr="005F305C" w:rsidRDefault="00141057" w:rsidP="00694A15">
            <w:pPr>
              <w:spacing w:before="60" w:after="60"/>
              <w:rPr>
                <w:rFonts w:ascii="Tw Cen MT" w:hAnsi="Tw Cen MT" w:cs="Arial"/>
                <w:b/>
                <w:sz w:val="24"/>
                <w:szCs w:val="24"/>
              </w:rPr>
            </w:pPr>
            <w:r w:rsidRPr="005F305C">
              <w:rPr>
                <w:rFonts w:ascii="Tw Cen MT" w:hAnsi="Tw Cen MT" w:cs="Arial"/>
                <w:b/>
                <w:sz w:val="24"/>
                <w:szCs w:val="24"/>
              </w:rPr>
              <w:t>Method of assessment</w:t>
            </w:r>
          </w:p>
        </w:tc>
      </w:tr>
      <w:tr w:rsidR="00141057" w:rsidRPr="005F305C" w:rsidTr="00694A15">
        <w:trPr>
          <w:trHeight w:val="412"/>
        </w:trPr>
        <w:tc>
          <w:tcPr>
            <w:tcW w:w="392" w:type="dxa"/>
            <w:shd w:val="clear" w:color="auto" w:fill="auto"/>
            <w:vAlign w:val="center"/>
          </w:tcPr>
          <w:p w:rsidR="00141057" w:rsidRPr="005F305C" w:rsidRDefault="00141057" w:rsidP="00694A15">
            <w:pPr>
              <w:spacing w:before="60" w:after="60"/>
              <w:rPr>
                <w:rFonts w:ascii="Tw Cen MT" w:hAnsi="Tw Cen MT" w:cs="Arial"/>
                <w:b/>
                <w:sz w:val="24"/>
                <w:szCs w:val="24"/>
              </w:rPr>
            </w:pPr>
            <w:r w:rsidRPr="005F305C">
              <w:rPr>
                <w:rFonts w:ascii="Tw Cen MT" w:hAnsi="Tw Cen MT" w:cs="Arial"/>
                <w:b/>
                <w:sz w:val="24"/>
                <w:szCs w:val="24"/>
              </w:rPr>
              <w:t>1</w:t>
            </w:r>
          </w:p>
        </w:tc>
        <w:tc>
          <w:tcPr>
            <w:tcW w:w="6237" w:type="dxa"/>
            <w:shd w:val="clear" w:color="auto" w:fill="auto"/>
            <w:vAlign w:val="center"/>
          </w:tcPr>
          <w:p w:rsidR="00141057" w:rsidRPr="005F305C" w:rsidRDefault="00141057" w:rsidP="00694A15">
            <w:pPr>
              <w:spacing w:before="60" w:after="60"/>
              <w:rPr>
                <w:rFonts w:ascii="Tw Cen MT" w:hAnsi="Tw Cen MT" w:cs="Arial"/>
                <w:b/>
                <w:sz w:val="24"/>
                <w:szCs w:val="24"/>
              </w:rPr>
            </w:pPr>
            <w:r w:rsidRPr="005F305C">
              <w:rPr>
                <w:rFonts w:ascii="Tw Cen MT" w:hAnsi="Tw Cen MT" w:cs="Arial"/>
                <w:b/>
                <w:sz w:val="24"/>
                <w:szCs w:val="24"/>
              </w:rPr>
              <w:t>Qualifications and training</w:t>
            </w:r>
          </w:p>
        </w:tc>
        <w:tc>
          <w:tcPr>
            <w:tcW w:w="3544" w:type="dxa"/>
            <w:shd w:val="clear" w:color="auto" w:fill="auto"/>
            <w:vAlign w:val="center"/>
          </w:tcPr>
          <w:p w:rsidR="00141057" w:rsidRPr="005F305C" w:rsidRDefault="00141057" w:rsidP="00694A15">
            <w:pPr>
              <w:spacing w:before="60" w:after="60"/>
              <w:rPr>
                <w:rFonts w:ascii="Tw Cen MT" w:hAnsi="Tw Cen MT" w:cs="Arial"/>
                <w:b/>
                <w:sz w:val="24"/>
                <w:szCs w:val="24"/>
              </w:rPr>
            </w:pPr>
            <w:r w:rsidRPr="005F305C">
              <w:rPr>
                <w:rFonts w:ascii="Tw Cen MT" w:hAnsi="Tw Cen MT" w:cs="Arial"/>
                <w:b/>
                <w:sz w:val="24"/>
                <w:szCs w:val="24"/>
              </w:rPr>
              <w:t>Application Form</w:t>
            </w:r>
          </w:p>
        </w:tc>
      </w:tr>
      <w:tr w:rsidR="00141057" w:rsidRPr="005F305C" w:rsidTr="00694A15">
        <w:trPr>
          <w:trHeight w:val="598"/>
        </w:trPr>
        <w:tc>
          <w:tcPr>
            <w:tcW w:w="392" w:type="dxa"/>
            <w:shd w:val="clear" w:color="auto" w:fill="auto"/>
          </w:tcPr>
          <w:p w:rsidR="00141057" w:rsidRPr="005F305C" w:rsidRDefault="00141057" w:rsidP="00694A15">
            <w:pPr>
              <w:rPr>
                <w:rFonts w:ascii="Tw Cen MT" w:hAnsi="Tw Cen MT" w:cs="Arial"/>
                <w:sz w:val="24"/>
                <w:szCs w:val="24"/>
              </w:rPr>
            </w:pPr>
          </w:p>
        </w:tc>
        <w:tc>
          <w:tcPr>
            <w:tcW w:w="6237" w:type="dxa"/>
            <w:shd w:val="clear" w:color="auto" w:fill="auto"/>
          </w:tcPr>
          <w:p w:rsidR="00141057" w:rsidRPr="005F305C" w:rsidRDefault="00141057" w:rsidP="00694A15">
            <w:pPr>
              <w:pStyle w:val="ListParagraph"/>
              <w:numPr>
                <w:ilvl w:val="0"/>
                <w:numId w:val="1"/>
              </w:numPr>
              <w:rPr>
                <w:rFonts w:ascii="Tw Cen MT" w:hAnsi="Tw Cen MT" w:cs="Arial"/>
                <w:sz w:val="24"/>
                <w:szCs w:val="24"/>
              </w:rPr>
            </w:pPr>
            <w:r w:rsidRPr="005F305C">
              <w:rPr>
                <w:rFonts w:ascii="Tw Cen MT" w:hAnsi="Tw Cen MT" w:cs="Arial"/>
                <w:sz w:val="24"/>
                <w:szCs w:val="24"/>
              </w:rPr>
              <w:t>DfE qualified teacher status.</w:t>
            </w:r>
          </w:p>
          <w:p w:rsidR="00141057" w:rsidRPr="005F305C" w:rsidRDefault="00141057" w:rsidP="00694A15">
            <w:pPr>
              <w:pStyle w:val="ListParagraph"/>
              <w:numPr>
                <w:ilvl w:val="0"/>
                <w:numId w:val="1"/>
              </w:numPr>
              <w:rPr>
                <w:rFonts w:ascii="Tw Cen MT" w:hAnsi="Tw Cen MT" w:cs="Arial"/>
                <w:sz w:val="24"/>
                <w:szCs w:val="24"/>
              </w:rPr>
            </w:pPr>
            <w:r w:rsidRPr="005F305C">
              <w:rPr>
                <w:rFonts w:ascii="Tw Cen MT" w:hAnsi="Tw Cen MT" w:cs="Arial"/>
                <w:sz w:val="24"/>
                <w:szCs w:val="24"/>
              </w:rPr>
              <w:t>NPQH and/or further post graduate study</w:t>
            </w:r>
          </w:p>
          <w:p w:rsidR="00141057" w:rsidRPr="005F305C" w:rsidRDefault="00141057" w:rsidP="00694A15">
            <w:pPr>
              <w:pStyle w:val="ListParagraph"/>
              <w:numPr>
                <w:ilvl w:val="0"/>
                <w:numId w:val="1"/>
              </w:numPr>
              <w:rPr>
                <w:rFonts w:ascii="Tw Cen MT" w:hAnsi="Tw Cen MT" w:cs="Arial"/>
                <w:sz w:val="24"/>
                <w:szCs w:val="24"/>
              </w:rPr>
            </w:pPr>
            <w:r w:rsidRPr="005F305C">
              <w:rPr>
                <w:rFonts w:ascii="Tw Cen MT" w:hAnsi="Tw Cen MT" w:cs="Arial"/>
                <w:sz w:val="24"/>
                <w:szCs w:val="24"/>
              </w:rPr>
              <w:t>NASEN (desirable)</w:t>
            </w:r>
          </w:p>
          <w:p w:rsidR="00141057" w:rsidRPr="005F305C" w:rsidRDefault="00141057" w:rsidP="00694A15">
            <w:pPr>
              <w:pStyle w:val="ListParagraph"/>
              <w:numPr>
                <w:ilvl w:val="0"/>
                <w:numId w:val="1"/>
              </w:numPr>
              <w:rPr>
                <w:rFonts w:ascii="Tw Cen MT" w:hAnsi="Tw Cen MT" w:cs="Arial"/>
                <w:sz w:val="24"/>
                <w:szCs w:val="24"/>
              </w:rPr>
            </w:pPr>
            <w:r w:rsidRPr="005F305C">
              <w:rPr>
                <w:rFonts w:ascii="Tw Cen MT" w:hAnsi="Tw Cen MT" w:cs="Arial"/>
                <w:sz w:val="24"/>
                <w:szCs w:val="24"/>
              </w:rPr>
              <w:t>A record of other training relevant to leadership</w:t>
            </w:r>
          </w:p>
        </w:tc>
        <w:tc>
          <w:tcPr>
            <w:tcW w:w="3544" w:type="dxa"/>
            <w:shd w:val="clear" w:color="auto" w:fill="auto"/>
          </w:tcPr>
          <w:p w:rsidR="00141057" w:rsidRPr="005F305C" w:rsidRDefault="00141057" w:rsidP="00694A15">
            <w:pPr>
              <w:rPr>
                <w:rFonts w:ascii="Tw Cen MT" w:hAnsi="Tw Cen MT" w:cs="Arial"/>
                <w:sz w:val="24"/>
                <w:szCs w:val="24"/>
              </w:rPr>
            </w:pPr>
          </w:p>
        </w:tc>
      </w:tr>
      <w:tr w:rsidR="00141057" w:rsidRPr="005F305C" w:rsidTr="00694A15">
        <w:trPr>
          <w:trHeight w:val="422"/>
        </w:trPr>
        <w:tc>
          <w:tcPr>
            <w:tcW w:w="392" w:type="dxa"/>
            <w:shd w:val="clear" w:color="auto" w:fill="auto"/>
            <w:vAlign w:val="center"/>
          </w:tcPr>
          <w:p w:rsidR="00141057" w:rsidRPr="005F305C" w:rsidRDefault="00141057" w:rsidP="00694A15">
            <w:pPr>
              <w:spacing w:before="60" w:after="60"/>
              <w:rPr>
                <w:rFonts w:ascii="Tw Cen MT" w:hAnsi="Tw Cen MT" w:cs="Arial"/>
                <w:b/>
                <w:sz w:val="24"/>
                <w:szCs w:val="24"/>
              </w:rPr>
            </w:pPr>
            <w:r w:rsidRPr="005F305C">
              <w:rPr>
                <w:rFonts w:ascii="Tw Cen MT" w:hAnsi="Tw Cen MT" w:cs="Arial"/>
                <w:b/>
                <w:sz w:val="24"/>
                <w:szCs w:val="24"/>
              </w:rPr>
              <w:t>2</w:t>
            </w:r>
          </w:p>
        </w:tc>
        <w:tc>
          <w:tcPr>
            <w:tcW w:w="6237" w:type="dxa"/>
            <w:shd w:val="clear" w:color="auto" w:fill="auto"/>
            <w:vAlign w:val="center"/>
          </w:tcPr>
          <w:p w:rsidR="00141057" w:rsidRPr="005F305C" w:rsidRDefault="00141057" w:rsidP="00694A15">
            <w:pPr>
              <w:spacing w:before="60" w:after="60"/>
              <w:rPr>
                <w:rFonts w:ascii="Tw Cen MT" w:hAnsi="Tw Cen MT" w:cs="Arial"/>
                <w:b/>
                <w:sz w:val="24"/>
                <w:szCs w:val="24"/>
              </w:rPr>
            </w:pPr>
            <w:r w:rsidRPr="005F305C">
              <w:rPr>
                <w:rFonts w:ascii="Tw Cen MT" w:hAnsi="Tw Cen MT" w:cs="Arial"/>
                <w:b/>
                <w:sz w:val="24"/>
                <w:szCs w:val="24"/>
              </w:rPr>
              <w:t>Successful Experience</w:t>
            </w:r>
          </w:p>
        </w:tc>
        <w:tc>
          <w:tcPr>
            <w:tcW w:w="3544" w:type="dxa"/>
            <w:shd w:val="clear" w:color="auto" w:fill="auto"/>
            <w:vAlign w:val="center"/>
          </w:tcPr>
          <w:p w:rsidR="00141057" w:rsidRPr="005F305C" w:rsidRDefault="00141057" w:rsidP="00694A15">
            <w:pPr>
              <w:spacing w:before="60" w:after="60"/>
              <w:rPr>
                <w:rFonts w:ascii="Tw Cen MT" w:hAnsi="Tw Cen MT" w:cs="Arial"/>
                <w:b/>
                <w:sz w:val="24"/>
                <w:szCs w:val="24"/>
              </w:rPr>
            </w:pPr>
            <w:r w:rsidRPr="005F305C">
              <w:rPr>
                <w:rFonts w:ascii="Tw Cen MT" w:hAnsi="Tw Cen MT" w:cs="Arial"/>
                <w:b/>
                <w:sz w:val="24"/>
                <w:szCs w:val="24"/>
              </w:rPr>
              <w:t>Application form</w:t>
            </w:r>
          </w:p>
        </w:tc>
      </w:tr>
      <w:tr w:rsidR="00141057" w:rsidRPr="005F305C" w:rsidTr="00694A15">
        <w:trPr>
          <w:trHeight w:val="2617"/>
        </w:trPr>
        <w:tc>
          <w:tcPr>
            <w:tcW w:w="392" w:type="dxa"/>
            <w:shd w:val="clear" w:color="auto" w:fill="auto"/>
          </w:tcPr>
          <w:p w:rsidR="00141057" w:rsidRPr="005F305C" w:rsidRDefault="00141057" w:rsidP="00694A15">
            <w:pPr>
              <w:rPr>
                <w:rFonts w:ascii="Tw Cen MT" w:hAnsi="Tw Cen MT" w:cs="Arial"/>
                <w:sz w:val="24"/>
                <w:szCs w:val="24"/>
              </w:rPr>
            </w:pPr>
          </w:p>
        </w:tc>
        <w:tc>
          <w:tcPr>
            <w:tcW w:w="6237" w:type="dxa"/>
            <w:shd w:val="clear" w:color="auto" w:fill="auto"/>
          </w:tcPr>
          <w:p w:rsidR="00141057" w:rsidRPr="005F305C" w:rsidRDefault="00141057" w:rsidP="00141057">
            <w:pPr>
              <w:pStyle w:val="ListParagraph"/>
              <w:numPr>
                <w:ilvl w:val="0"/>
                <w:numId w:val="4"/>
              </w:numPr>
              <w:tabs>
                <w:tab w:val="left" w:pos="339"/>
              </w:tabs>
              <w:rPr>
                <w:rFonts w:ascii="Tw Cen MT" w:hAnsi="Tw Cen MT" w:cs="Arial"/>
                <w:sz w:val="24"/>
                <w:szCs w:val="24"/>
              </w:rPr>
            </w:pPr>
            <w:r w:rsidRPr="005F305C">
              <w:rPr>
                <w:rFonts w:ascii="Tw Cen MT" w:hAnsi="Tw Cen MT" w:cs="Arial"/>
                <w:sz w:val="24"/>
                <w:szCs w:val="24"/>
              </w:rPr>
              <w:t>Evidence of successful, outstanding teaching experience across the EYFS</w:t>
            </w:r>
          </w:p>
          <w:p w:rsidR="00141057" w:rsidRPr="005F305C" w:rsidRDefault="00141057" w:rsidP="00141057">
            <w:pPr>
              <w:pStyle w:val="ListParagraph"/>
              <w:numPr>
                <w:ilvl w:val="0"/>
                <w:numId w:val="4"/>
              </w:numPr>
              <w:tabs>
                <w:tab w:val="left" w:pos="339"/>
              </w:tabs>
              <w:rPr>
                <w:rFonts w:ascii="Tw Cen MT" w:hAnsi="Tw Cen MT" w:cs="Arial"/>
                <w:sz w:val="24"/>
                <w:szCs w:val="24"/>
              </w:rPr>
            </w:pPr>
            <w:r w:rsidRPr="005F305C">
              <w:rPr>
                <w:rFonts w:ascii="Tw Cen MT" w:hAnsi="Tw Cen MT" w:cs="Arial"/>
                <w:sz w:val="24"/>
                <w:szCs w:val="24"/>
              </w:rPr>
              <w:t xml:space="preserve">At least two years relevant, varied experience at a senior level in a similar school </w:t>
            </w:r>
          </w:p>
          <w:p w:rsidR="00141057" w:rsidRPr="005F305C" w:rsidRDefault="00141057" w:rsidP="00141057">
            <w:pPr>
              <w:pStyle w:val="ListParagraph"/>
              <w:numPr>
                <w:ilvl w:val="0"/>
                <w:numId w:val="4"/>
              </w:numPr>
              <w:tabs>
                <w:tab w:val="left" w:pos="339"/>
              </w:tabs>
              <w:rPr>
                <w:rFonts w:ascii="Tw Cen MT" w:hAnsi="Tw Cen MT" w:cs="Arial"/>
                <w:sz w:val="24"/>
                <w:szCs w:val="24"/>
              </w:rPr>
            </w:pPr>
            <w:r w:rsidRPr="005F305C">
              <w:rPr>
                <w:rFonts w:ascii="Tw Cen MT" w:hAnsi="Tw Cen MT" w:cs="Arial"/>
                <w:sz w:val="24"/>
                <w:szCs w:val="24"/>
              </w:rPr>
              <w:t>Of developing a strategic view for the future needs and development of the school</w:t>
            </w:r>
          </w:p>
          <w:p w:rsidR="00141057" w:rsidRPr="005F305C" w:rsidRDefault="00141057" w:rsidP="00141057">
            <w:pPr>
              <w:pStyle w:val="ListParagraph"/>
              <w:numPr>
                <w:ilvl w:val="0"/>
                <w:numId w:val="4"/>
              </w:numPr>
              <w:tabs>
                <w:tab w:val="left" w:pos="339"/>
              </w:tabs>
              <w:rPr>
                <w:rFonts w:ascii="Tw Cen MT" w:hAnsi="Tw Cen MT" w:cs="Arial"/>
                <w:sz w:val="24"/>
                <w:szCs w:val="24"/>
              </w:rPr>
            </w:pPr>
            <w:r w:rsidRPr="005F305C">
              <w:rPr>
                <w:rFonts w:ascii="Tw Cen MT" w:hAnsi="Tw Cen MT" w:cs="Arial"/>
                <w:sz w:val="24"/>
                <w:szCs w:val="24"/>
              </w:rPr>
              <w:t>Of being innovative and finding creative solutions to communicate a vision to inspire and motivate all stakeholders</w:t>
            </w:r>
          </w:p>
          <w:p w:rsidR="00141057" w:rsidRPr="005F305C" w:rsidRDefault="00141057" w:rsidP="00141057">
            <w:pPr>
              <w:pStyle w:val="ListParagraph"/>
              <w:numPr>
                <w:ilvl w:val="0"/>
                <w:numId w:val="4"/>
              </w:numPr>
              <w:rPr>
                <w:rFonts w:ascii="Tw Cen MT" w:hAnsi="Tw Cen MT" w:cs="Arial"/>
                <w:sz w:val="24"/>
                <w:szCs w:val="24"/>
              </w:rPr>
            </w:pPr>
            <w:r w:rsidRPr="005F305C">
              <w:rPr>
                <w:rFonts w:ascii="Tw Cen MT" w:hAnsi="Tw Cen MT" w:cs="Arial"/>
                <w:sz w:val="24"/>
                <w:szCs w:val="24"/>
              </w:rPr>
              <w:t>Of securing and sustaining effective teaching and learning, including for pupils with SEND, and its monitoring and evaluation throughout the school.</w:t>
            </w:r>
          </w:p>
          <w:p w:rsidR="00141057" w:rsidRPr="005F305C" w:rsidRDefault="00141057" w:rsidP="00141057">
            <w:pPr>
              <w:pStyle w:val="ListParagraph"/>
              <w:numPr>
                <w:ilvl w:val="0"/>
                <w:numId w:val="4"/>
              </w:numPr>
              <w:rPr>
                <w:rFonts w:ascii="Tw Cen MT" w:hAnsi="Tw Cen MT" w:cs="Arial"/>
                <w:sz w:val="24"/>
                <w:szCs w:val="24"/>
              </w:rPr>
            </w:pPr>
            <w:r w:rsidRPr="005F305C">
              <w:rPr>
                <w:rFonts w:ascii="Tw Cen MT" w:hAnsi="Tw Cen MT" w:cs="Arial"/>
                <w:sz w:val="24"/>
                <w:szCs w:val="24"/>
              </w:rPr>
              <w:t>Evidence of driving up standards of teaching and learning to ensure excellent outcomes for all pupils,</w:t>
            </w:r>
          </w:p>
          <w:p w:rsidR="00141057" w:rsidRPr="005F305C" w:rsidRDefault="00141057" w:rsidP="00141057">
            <w:pPr>
              <w:pStyle w:val="ListParagraph"/>
              <w:numPr>
                <w:ilvl w:val="0"/>
                <w:numId w:val="4"/>
              </w:numPr>
              <w:rPr>
                <w:rFonts w:ascii="Tw Cen MT" w:hAnsi="Tw Cen MT" w:cs="Arial"/>
                <w:sz w:val="24"/>
                <w:szCs w:val="24"/>
              </w:rPr>
            </w:pPr>
            <w:r w:rsidRPr="005F305C">
              <w:rPr>
                <w:rFonts w:ascii="Tw Cen MT" w:hAnsi="Tw Cen MT" w:cs="Arial"/>
                <w:sz w:val="24"/>
                <w:szCs w:val="24"/>
              </w:rPr>
              <w:t>Raising the academic and personal achievement of all pupils</w:t>
            </w:r>
          </w:p>
          <w:p w:rsidR="00141057" w:rsidRPr="005F305C" w:rsidRDefault="00141057" w:rsidP="00141057">
            <w:pPr>
              <w:pStyle w:val="ListParagraph"/>
              <w:numPr>
                <w:ilvl w:val="0"/>
                <w:numId w:val="4"/>
              </w:numPr>
              <w:tabs>
                <w:tab w:val="left" w:pos="339"/>
              </w:tabs>
              <w:rPr>
                <w:rFonts w:ascii="Tw Cen MT" w:hAnsi="Tw Cen MT" w:cs="Arial"/>
                <w:sz w:val="24"/>
                <w:szCs w:val="24"/>
              </w:rPr>
            </w:pPr>
            <w:r w:rsidRPr="005F305C">
              <w:rPr>
                <w:rFonts w:ascii="Tw Cen MT" w:hAnsi="Tw Cen MT" w:cs="Arial"/>
                <w:sz w:val="24"/>
                <w:szCs w:val="24"/>
              </w:rPr>
              <w:t>Of efficient and effective deployment of staff and financial resources to serve improvement.</w:t>
            </w:r>
          </w:p>
          <w:p w:rsidR="00141057" w:rsidRPr="005F305C" w:rsidRDefault="00141057" w:rsidP="00141057">
            <w:pPr>
              <w:pStyle w:val="ListParagraph"/>
              <w:numPr>
                <w:ilvl w:val="0"/>
                <w:numId w:val="4"/>
              </w:numPr>
              <w:tabs>
                <w:tab w:val="left" w:pos="339"/>
              </w:tabs>
              <w:rPr>
                <w:rFonts w:ascii="Tw Cen MT" w:hAnsi="Tw Cen MT" w:cs="Arial"/>
                <w:sz w:val="24"/>
                <w:szCs w:val="24"/>
              </w:rPr>
            </w:pPr>
            <w:r w:rsidRPr="005F305C">
              <w:rPr>
                <w:rFonts w:ascii="Tw Cen MT" w:hAnsi="Tw Cen MT" w:cs="Arial"/>
                <w:sz w:val="24"/>
                <w:szCs w:val="24"/>
              </w:rPr>
              <w:t>Experience of adhering to financial procedures and of managing a significant school budget with probity</w:t>
            </w:r>
          </w:p>
          <w:p w:rsidR="00141057" w:rsidRPr="005F305C" w:rsidRDefault="00141057" w:rsidP="00141057">
            <w:pPr>
              <w:pStyle w:val="ListParagraph"/>
              <w:numPr>
                <w:ilvl w:val="0"/>
                <w:numId w:val="4"/>
              </w:numPr>
              <w:rPr>
                <w:rFonts w:ascii="Tw Cen MT" w:hAnsi="Tw Cen MT" w:cs="Arial"/>
                <w:sz w:val="24"/>
                <w:szCs w:val="24"/>
              </w:rPr>
            </w:pPr>
            <w:r w:rsidRPr="005F305C">
              <w:rPr>
                <w:rFonts w:ascii="Tw Cen MT" w:hAnsi="Tw Cen MT" w:cs="Arial"/>
                <w:sz w:val="24"/>
                <w:szCs w:val="24"/>
              </w:rPr>
              <w:t>Of working in partnership with a range of stakeholders and other agencies for example Local Authority, local schools to improve the academic and social outcomes for all pupils</w:t>
            </w:r>
          </w:p>
          <w:p w:rsidR="00141057" w:rsidRDefault="00141057" w:rsidP="00141057">
            <w:pPr>
              <w:pStyle w:val="ListParagraph"/>
              <w:numPr>
                <w:ilvl w:val="0"/>
                <w:numId w:val="4"/>
              </w:numPr>
              <w:rPr>
                <w:rFonts w:ascii="Tw Cen MT" w:hAnsi="Tw Cen MT" w:cs="Arial"/>
                <w:sz w:val="24"/>
                <w:szCs w:val="24"/>
              </w:rPr>
            </w:pPr>
            <w:r w:rsidRPr="005F305C">
              <w:rPr>
                <w:rFonts w:ascii="Tw Cen MT" w:hAnsi="Tw Cen MT" w:cs="Arial"/>
                <w:sz w:val="24"/>
                <w:szCs w:val="24"/>
              </w:rPr>
              <w:t>Experience of co-ordinating SEND provision within the EYFS</w:t>
            </w:r>
          </w:p>
          <w:p w:rsidR="005F305C" w:rsidRDefault="005F305C" w:rsidP="005F305C">
            <w:pPr>
              <w:rPr>
                <w:rFonts w:ascii="Tw Cen MT" w:hAnsi="Tw Cen MT" w:cs="Arial"/>
                <w:sz w:val="24"/>
                <w:szCs w:val="24"/>
              </w:rPr>
            </w:pPr>
          </w:p>
          <w:p w:rsidR="005F305C" w:rsidRDefault="005F305C" w:rsidP="005F305C">
            <w:pPr>
              <w:rPr>
                <w:rFonts w:ascii="Tw Cen MT" w:hAnsi="Tw Cen MT" w:cs="Arial"/>
                <w:sz w:val="24"/>
                <w:szCs w:val="24"/>
              </w:rPr>
            </w:pPr>
          </w:p>
          <w:p w:rsidR="005F305C" w:rsidRPr="005F305C" w:rsidRDefault="005F305C" w:rsidP="005F305C">
            <w:pPr>
              <w:rPr>
                <w:rFonts w:ascii="Tw Cen MT" w:hAnsi="Tw Cen MT" w:cs="Arial"/>
                <w:sz w:val="24"/>
                <w:szCs w:val="24"/>
              </w:rPr>
            </w:pPr>
            <w:bookmarkStart w:id="0" w:name="_GoBack"/>
            <w:bookmarkEnd w:id="0"/>
          </w:p>
        </w:tc>
        <w:tc>
          <w:tcPr>
            <w:tcW w:w="3544" w:type="dxa"/>
            <w:shd w:val="clear" w:color="auto" w:fill="auto"/>
          </w:tcPr>
          <w:p w:rsidR="00141057" w:rsidRPr="005F305C" w:rsidRDefault="00141057" w:rsidP="00694A15">
            <w:pPr>
              <w:ind w:left="360"/>
              <w:jc w:val="both"/>
              <w:rPr>
                <w:rFonts w:ascii="Tw Cen MT" w:hAnsi="Tw Cen MT" w:cs="Arial"/>
                <w:sz w:val="24"/>
                <w:szCs w:val="24"/>
              </w:rPr>
            </w:pPr>
          </w:p>
        </w:tc>
      </w:tr>
      <w:tr w:rsidR="00141057" w:rsidRPr="005F305C" w:rsidTr="00694A15">
        <w:trPr>
          <w:trHeight w:val="675"/>
        </w:trPr>
        <w:tc>
          <w:tcPr>
            <w:tcW w:w="392" w:type="dxa"/>
            <w:shd w:val="clear" w:color="auto" w:fill="auto"/>
            <w:vAlign w:val="center"/>
          </w:tcPr>
          <w:p w:rsidR="00141057" w:rsidRPr="005F305C" w:rsidRDefault="00141057" w:rsidP="00694A15">
            <w:pPr>
              <w:spacing w:before="60" w:after="60"/>
              <w:rPr>
                <w:rFonts w:ascii="Tw Cen MT" w:hAnsi="Tw Cen MT" w:cs="Arial"/>
                <w:b/>
                <w:sz w:val="24"/>
                <w:szCs w:val="24"/>
              </w:rPr>
            </w:pPr>
            <w:r w:rsidRPr="005F305C">
              <w:rPr>
                <w:rFonts w:ascii="Tw Cen MT" w:hAnsi="Tw Cen MT" w:cs="Arial"/>
                <w:b/>
                <w:sz w:val="24"/>
                <w:szCs w:val="24"/>
              </w:rPr>
              <w:lastRenderedPageBreak/>
              <w:t>3</w:t>
            </w:r>
          </w:p>
        </w:tc>
        <w:tc>
          <w:tcPr>
            <w:tcW w:w="6237" w:type="dxa"/>
            <w:shd w:val="clear" w:color="auto" w:fill="auto"/>
            <w:vAlign w:val="center"/>
          </w:tcPr>
          <w:p w:rsidR="00141057" w:rsidRPr="005F305C" w:rsidRDefault="00141057" w:rsidP="00694A15">
            <w:pPr>
              <w:spacing w:before="60" w:after="60"/>
              <w:rPr>
                <w:rFonts w:ascii="Tw Cen MT" w:hAnsi="Tw Cen MT" w:cs="Arial"/>
                <w:b/>
                <w:sz w:val="24"/>
                <w:szCs w:val="24"/>
              </w:rPr>
            </w:pPr>
            <w:r w:rsidRPr="005F305C">
              <w:rPr>
                <w:rFonts w:ascii="Tw Cen MT" w:hAnsi="Tw Cen MT" w:cs="Arial"/>
                <w:b/>
                <w:sz w:val="24"/>
                <w:szCs w:val="24"/>
              </w:rPr>
              <w:t>Key skills and attributes</w:t>
            </w:r>
          </w:p>
        </w:tc>
        <w:tc>
          <w:tcPr>
            <w:tcW w:w="3544" w:type="dxa"/>
            <w:shd w:val="clear" w:color="auto" w:fill="auto"/>
            <w:vAlign w:val="center"/>
          </w:tcPr>
          <w:p w:rsidR="00141057" w:rsidRPr="005F305C" w:rsidRDefault="00141057" w:rsidP="00694A15">
            <w:pPr>
              <w:spacing w:before="60" w:after="60"/>
              <w:rPr>
                <w:rFonts w:ascii="Tw Cen MT" w:hAnsi="Tw Cen MT" w:cs="Arial"/>
                <w:b/>
                <w:sz w:val="24"/>
                <w:szCs w:val="24"/>
              </w:rPr>
            </w:pPr>
            <w:r w:rsidRPr="005F305C">
              <w:rPr>
                <w:rFonts w:ascii="Tw Cen MT" w:hAnsi="Tw Cen MT" w:cs="Arial"/>
                <w:b/>
                <w:sz w:val="24"/>
                <w:szCs w:val="24"/>
              </w:rPr>
              <w:t>Application form, interview, and other assessment activities</w:t>
            </w:r>
          </w:p>
        </w:tc>
      </w:tr>
      <w:tr w:rsidR="00141057" w:rsidRPr="005F305C" w:rsidTr="00694A15">
        <w:trPr>
          <w:trHeight w:val="416"/>
        </w:trPr>
        <w:tc>
          <w:tcPr>
            <w:tcW w:w="392" w:type="dxa"/>
            <w:shd w:val="clear" w:color="auto" w:fill="auto"/>
          </w:tcPr>
          <w:p w:rsidR="00141057" w:rsidRPr="005F305C" w:rsidRDefault="00141057" w:rsidP="00694A15">
            <w:pPr>
              <w:rPr>
                <w:rFonts w:ascii="Tw Cen MT" w:hAnsi="Tw Cen MT" w:cs="Arial"/>
                <w:sz w:val="24"/>
                <w:szCs w:val="24"/>
              </w:rPr>
            </w:pPr>
          </w:p>
        </w:tc>
        <w:tc>
          <w:tcPr>
            <w:tcW w:w="6237" w:type="dxa"/>
            <w:shd w:val="clear" w:color="auto" w:fill="auto"/>
          </w:tcPr>
          <w:p w:rsidR="00141057" w:rsidRPr="005F305C" w:rsidRDefault="00141057" w:rsidP="00141057">
            <w:pPr>
              <w:pStyle w:val="ListParagraph"/>
              <w:numPr>
                <w:ilvl w:val="0"/>
                <w:numId w:val="2"/>
              </w:numPr>
              <w:rPr>
                <w:rFonts w:ascii="Tw Cen MT" w:hAnsi="Tw Cen MT" w:cs="Arial"/>
                <w:sz w:val="24"/>
                <w:szCs w:val="24"/>
              </w:rPr>
            </w:pPr>
            <w:r w:rsidRPr="005F305C">
              <w:rPr>
                <w:rFonts w:ascii="Tw Cen MT" w:hAnsi="Tw Cen MT" w:cs="Arial"/>
                <w:sz w:val="24"/>
                <w:szCs w:val="24"/>
              </w:rPr>
              <w:t>To use appropriate leadership styles in different situations, to initiate, inspire, lead and manage people to work effectively towards common goals</w:t>
            </w:r>
          </w:p>
          <w:p w:rsidR="00141057" w:rsidRPr="005F305C" w:rsidRDefault="00141057" w:rsidP="00141057">
            <w:pPr>
              <w:pStyle w:val="ListParagraph"/>
              <w:numPr>
                <w:ilvl w:val="0"/>
                <w:numId w:val="2"/>
              </w:numPr>
              <w:rPr>
                <w:rFonts w:ascii="Tw Cen MT" w:hAnsi="Tw Cen MT" w:cs="Arial"/>
                <w:sz w:val="24"/>
                <w:szCs w:val="24"/>
              </w:rPr>
            </w:pPr>
            <w:r w:rsidRPr="005F305C">
              <w:rPr>
                <w:rFonts w:ascii="Tw Cen MT" w:hAnsi="Tw Cen MT" w:cs="Arial"/>
                <w:sz w:val="24"/>
                <w:szCs w:val="24"/>
              </w:rPr>
              <w:t>To demonstrate an ability to use, analyse, interpret data, and as a result make decisions, set challenging targets and drive further improvements.</w:t>
            </w:r>
          </w:p>
          <w:p w:rsidR="00141057" w:rsidRPr="005F305C" w:rsidRDefault="00141057" w:rsidP="00141057">
            <w:pPr>
              <w:pStyle w:val="ListParagraph"/>
              <w:numPr>
                <w:ilvl w:val="0"/>
                <w:numId w:val="2"/>
              </w:numPr>
              <w:rPr>
                <w:rFonts w:ascii="Tw Cen MT" w:hAnsi="Tw Cen MT" w:cs="Arial"/>
                <w:sz w:val="24"/>
                <w:szCs w:val="24"/>
              </w:rPr>
            </w:pPr>
            <w:r w:rsidRPr="005F305C">
              <w:rPr>
                <w:rFonts w:ascii="Tw Cen MT" w:hAnsi="Tw Cen MT" w:cs="Arial"/>
                <w:sz w:val="24"/>
                <w:szCs w:val="24"/>
              </w:rPr>
              <w:t>Excellent interpersonal skills to communicate clearly and effectively using a range of methods, as appropriate, to a variety of audiences</w:t>
            </w:r>
          </w:p>
          <w:p w:rsidR="00141057" w:rsidRPr="005F305C" w:rsidRDefault="00141057" w:rsidP="00141057">
            <w:pPr>
              <w:pStyle w:val="ListParagraph"/>
              <w:numPr>
                <w:ilvl w:val="0"/>
                <w:numId w:val="2"/>
              </w:numPr>
              <w:rPr>
                <w:rFonts w:ascii="Tw Cen MT" w:hAnsi="Tw Cen MT" w:cs="Arial"/>
                <w:sz w:val="24"/>
                <w:szCs w:val="24"/>
              </w:rPr>
            </w:pPr>
            <w:r w:rsidRPr="005F305C">
              <w:rPr>
                <w:rFonts w:ascii="Tw Cen MT" w:hAnsi="Tw Cen MT" w:cs="Arial"/>
                <w:sz w:val="24"/>
                <w:szCs w:val="24"/>
              </w:rPr>
              <w:t>An ability to identify and promote excellence; hold people to account and challenge poor performance across the school</w:t>
            </w:r>
          </w:p>
          <w:p w:rsidR="00141057" w:rsidRPr="005F305C" w:rsidRDefault="00141057" w:rsidP="00141057">
            <w:pPr>
              <w:pStyle w:val="ListParagraph"/>
              <w:numPr>
                <w:ilvl w:val="0"/>
                <w:numId w:val="2"/>
              </w:numPr>
              <w:rPr>
                <w:rFonts w:ascii="Tw Cen MT" w:hAnsi="Tw Cen MT" w:cs="Arial"/>
                <w:sz w:val="24"/>
                <w:szCs w:val="24"/>
              </w:rPr>
            </w:pPr>
            <w:r w:rsidRPr="005F305C">
              <w:rPr>
                <w:rFonts w:ascii="Tw Cen MT" w:hAnsi="Tw Cen MT" w:cs="Arial"/>
                <w:sz w:val="24"/>
                <w:szCs w:val="24"/>
              </w:rPr>
              <w:t>Evidence of successfully developing teams of professionals, delegating effectively and managing change</w:t>
            </w:r>
          </w:p>
          <w:p w:rsidR="00141057" w:rsidRPr="005F305C" w:rsidRDefault="00141057" w:rsidP="00141057">
            <w:pPr>
              <w:pStyle w:val="ListParagraph"/>
              <w:numPr>
                <w:ilvl w:val="0"/>
                <w:numId w:val="2"/>
              </w:numPr>
              <w:rPr>
                <w:rFonts w:ascii="Tw Cen MT" w:hAnsi="Tw Cen MT" w:cs="Arial"/>
                <w:sz w:val="24"/>
                <w:szCs w:val="24"/>
              </w:rPr>
            </w:pPr>
            <w:r w:rsidRPr="005F305C">
              <w:rPr>
                <w:rFonts w:ascii="Tw Cen MT" w:hAnsi="Tw Cen MT" w:cs="Arial"/>
                <w:sz w:val="24"/>
                <w:szCs w:val="24"/>
              </w:rPr>
              <w:t>To draw upon attributes demonstrated by all successful leaders such as resilience; being adaptable, approachable and visible; displaying self-confidence, enthusiasm and commitment.</w:t>
            </w:r>
          </w:p>
          <w:p w:rsidR="00141057" w:rsidRPr="005F305C" w:rsidRDefault="00141057" w:rsidP="00141057">
            <w:pPr>
              <w:pStyle w:val="ListParagraph"/>
              <w:numPr>
                <w:ilvl w:val="0"/>
                <w:numId w:val="2"/>
              </w:numPr>
              <w:rPr>
                <w:rFonts w:ascii="Tw Cen MT" w:hAnsi="Tw Cen MT" w:cs="Arial"/>
                <w:sz w:val="24"/>
                <w:szCs w:val="24"/>
              </w:rPr>
            </w:pPr>
            <w:r w:rsidRPr="005F305C">
              <w:rPr>
                <w:rFonts w:ascii="Tw Cen MT" w:hAnsi="Tw Cen MT" w:cs="Arial"/>
                <w:sz w:val="24"/>
                <w:szCs w:val="24"/>
              </w:rPr>
              <w:t>To engage the school community in a rigorous self and external evaluation of the work of the school.</w:t>
            </w:r>
          </w:p>
          <w:p w:rsidR="00141057" w:rsidRPr="005F305C" w:rsidRDefault="00141057" w:rsidP="00141057">
            <w:pPr>
              <w:pStyle w:val="ListParagraph"/>
              <w:numPr>
                <w:ilvl w:val="0"/>
                <w:numId w:val="2"/>
              </w:numPr>
              <w:rPr>
                <w:rFonts w:ascii="Tw Cen MT" w:hAnsi="Tw Cen MT" w:cs="Arial"/>
                <w:sz w:val="24"/>
                <w:szCs w:val="24"/>
              </w:rPr>
            </w:pPr>
            <w:r w:rsidRPr="005F305C">
              <w:rPr>
                <w:rFonts w:ascii="Tw Cen MT" w:hAnsi="Tw Cen MT" w:cs="Arial"/>
                <w:sz w:val="24"/>
                <w:szCs w:val="24"/>
              </w:rPr>
              <w:t>To demonstrate a commitment to continuing CPD for oneself and the school community</w:t>
            </w:r>
          </w:p>
          <w:p w:rsidR="00141057" w:rsidRPr="005F305C" w:rsidRDefault="00141057" w:rsidP="00141057">
            <w:pPr>
              <w:pStyle w:val="ListParagraph"/>
              <w:numPr>
                <w:ilvl w:val="0"/>
                <w:numId w:val="2"/>
              </w:numPr>
              <w:rPr>
                <w:rFonts w:ascii="Tw Cen MT" w:hAnsi="Tw Cen MT" w:cs="Arial"/>
                <w:sz w:val="24"/>
                <w:szCs w:val="24"/>
              </w:rPr>
            </w:pPr>
            <w:r w:rsidRPr="005F305C">
              <w:rPr>
                <w:rFonts w:ascii="Tw Cen MT" w:hAnsi="Tw Cen MT" w:cs="Arial"/>
                <w:sz w:val="24"/>
                <w:szCs w:val="24"/>
              </w:rPr>
              <w:t>An ability to develop and sustain effective multi-agency partnerships to support the pupils/families in school and the wider Newham community (SEND Hub)</w:t>
            </w:r>
          </w:p>
        </w:tc>
        <w:tc>
          <w:tcPr>
            <w:tcW w:w="3544" w:type="dxa"/>
            <w:shd w:val="clear" w:color="auto" w:fill="auto"/>
          </w:tcPr>
          <w:p w:rsidR="00141057" w:rsidRPr="005F305C" w:rsidRDefault="00141057" w:rsidP="00694A15">
            <w:pPr>
              <w:rPr>
                <w:rFonts w:ascii="Tw Cen MT" w:hAnsi="Tw Cen MT" w:cs="Arial"/>
                <w:sz w:val="24"/>
                <w:szCs w:val="24"/>
              </w:rPr>
            </w:pPr>
          </w:p>
        </w:tc>
      </w:tr>
      <w:tr w:rsidR="00141057" w:rsidRPr="005F305C" w:rsidTr="00694A15">
        <w:trPr>
          <w:trHeight w:val="598"/>
        </w:trPr>
        <w:tc>
          <w:tcPr>
            <w:tcW w:w="392" w:type="dxa"/>
            <w:shd w:val="clear" w:color="auto" w:fill="auto"/>
            <w:vAlign w:val="center"/>
          </w:tcPr>
          <w:p w:rsidR="00141057" w:rsidRPr="005F305C" w:rsidRDefault="00141057" w:rsidP="00694A15">
            <w:pPr>
              <w:spacing w:before="60" w:after="60"/>
              <w:rPr>
                <w:rFonts w:ascii="Tw Cen MT" w:hAnsi="Tw Cen MT" w:cs="Arial"/>
                <w:b/>
                <w:sz w:val="24"/>
                <w:szCs w:val="24"/>
              </w:rPr>
            </w:pPr>
            <w:r w:rsidRPr="005F305C">
              <w:rPr>
                <w:rFonts w:ascii="Tw Cen MT" w:hAnsi="Tw Cen MT" w:cs="Arial"/>
                <w:b/>
                <w:sz w:val="24"/>
                <w:szCs w:val="24"/>
              </w:rPr>
              <w:t>4</w:t>
            </w:r>
          </w:p>
        </w:tc>
        <w:tc>
          <w:tcPr>
            <w:tcW w:w="6237" w:type="dxa"/>
            <w:shd w:val="clear" w:color="auto" w:fill="auto"/>
            <w:vAlign w:val="center"/>
          </w:tcPr>
          <w:p w:rsidR="00141057" w:rsidRPr="005F305C" w:rsidRDefault="00141057" w:rsidP="00694A15">
            <w:pPr>
              <w:spacing w:before="60" w:after="60"/>
              <w:rPr>
                <w:rFonts w:ascii="Tw Cen MT" w:hAnsi="Tw Cen MT" w:cs="Arial"/>
                <w:b/>
                <w:sz w:val="24"/>
                <w:szCs w:val="24"/>
              </w:rPr>
            </w:pPr>
            <w:r w:rsidRPr="005F305C">
              <w:rPr>
                <w:rFonts w:ascii="Tw Cen MT" w:hAnsi="Tw Cen MT" w:cs="Arial"/>
                <w:b/>
                <w:sz w:val="24"/>
                <w:szCs w:val="24"/>
              </w:rPr>
              <w:t xml:space="preserve">Knowledge and understanding of </w:t>
            </w:r>
          </w:p>
        </w:tc>
        <w:tc>
          <w:tcPr>
            <w:tcW w:w="3544" w:type="dxa"/>
            <w:shd w:val="clear" w:color="auto" w:fill="auto"/>
            <w:vAlign w:val="center"/>
          </w:tcPr>
          <w:p w:rsidR="00141057" w:rsidRPr="005F305C" w:rsidRDefault="00141057" w:rsidP="00694A15">
            <w:pPr>
              <w:spacing w:before="60" w:after="60"/>
              <w:rPr>
                <w:rFonts w:ascii="Tw Cen MT" w:hAnsi="Tw Cen MT" w:cs="Arial"/>
                <w:b/>
                <w:sz w:val="24"/>
                <w:szCs w:val="24"/>
              </w:rPr>
            </w:pPr>
            <w:r w:rsidRPr="005F305C">
              <w:rPr>
                <w:rFonts w:ascii="Tw Cen MT" w:hAnsi="Tw Cen MT" w:cs="Arial"/>
                <w:b/>
                <w:sz w:val="24"/>
                <w:szCs w:val="24"/>
              </w:rPr>
              <w:t>Application form, interview, and other assessment activities</w:t>
            </w:r>
          </w:p>
        </w:tc>
      </w:tr>
      <w:tr w:rsidR="00141057" w:rsidRPr="005F305C" w:rsidTr="00694A15">
        <w:trPr>
          <w:trHeight w:val="598"/>
        </w:trPr>
        <w:tc>
          <w:tcPr>
            <w:tcW w:w="392" w:type="dxa"/>
            <w:shd w:val="clear" w:color="auto" w:fill="auto"/>
          </w:tcPr>
          <w:p w:rsidR="00141057" w:rsidRPr="005F305C" w:rsidRDefault="00141057" w:rsidP="00694A15">
            <w:pPr>
              <w:rPr>
                <w:rFonts w:ascii="Tw Cen MT" w:hAnsi="Tw Cen MT" w:cs="Arial"/>
                <w:sz w:val="24"/>
                <w:szCs w:val="24"/>
              </w:rPr>
            </w:pPr>
          </w:p>
        </w:tc>
        <w:tc>
          <w:tcPr>
            <w:tcW w:w="6237" w:type="dxa"/>
            <w:shd w:val="clear" w:color="auto" w:fill="auto"/>
          </w:tcPr>
          <w:p w:rsidR="00141057" w:rsidRPr="005F305C" w:rsidRDefault="00141057" w:rsidP="00141057">
            <w:pPr>
              <w:pStyle w:val="ListParagraph"/>
              <w:widowControl w:val="0"/>
              <w:numPr>
                <w:ilvl w:val="0"/>
                <w:numId w:val="3"/>
              </w:numPr>
              <w:tabs>
                <w:tab w:val="left" w:pos="339"/>
              </w:tabs>
              <w:rPr>
                <w:rFonts w:ascii="Tw Cen MT" w:hAnsi="Tw Cen MT" w:cs="Arial"/>
                <w:sz w:val="24"/>
                <w:szCs w:val="24"/>
              </w:rPr>
            </w:pPr>
            <w:r w:rsidRPr="005F305C">
              <w:rPr>
                <w:rFonts w:ascii="Tw Cen MT" w:hAnsi="Tw Cen MT" w:cs="Arial"/>
                <w:sz w:val="24"/>
                <w:szCs w:val="24"/>
              </w:rPr>
              <w:t>Current educational developments, curriculum issues and legislative changes, their implication and how it impacts on school life.</w:t>
            </w:r>
          </w:p>
          <w:p w:rsidR="00141057" w:rsidRPr="005F305C" w:rsidRDefault="00141057" w:rsidP="00141057">
            <w:pPr>
              <w:pStyle w:val="ListParagraph"/>
              <w:numPr>
                <w:ilvl w:val="0"/>
                <w:numId w:val="3"/>
              </w:numPr>
              <w:tabs>
                <w:tab w:val="left" w:pos="339"/>
              </w:tabs>
              <w:rPr>
                <w:rFonts w:ascii="Tw Cen MT" w:hAnsi="Tw Cen MT" w:cs="Arial"/>
                <w:sz w:val="24"/>
                <w:szCs w:val="24"/>
              </w:rPr>
            </w:pPr>
            <w:r w:rsidRPr="005F305C">
              <w:rPr>
                <w:rFonts w:ascii="Tw Cen MT" w:hAnsi="Tw Cen MT" w:cs="Arial"/>
                <w:sz w:val="24"/>
                <w:szCs w:val="24"/>
              </w:rPr>
              <w:t>The contribution that evidence from inspection and research can make to professional and school development.</w:t>
            </w:r>
          </w:p>
          <w:p w:rsidR="00141057" w:rsidRPr="005F305C" w:rsidRDefault="00141057" w:rsidP="00141057">
            <w:pPr>
              <w:pStyle w:val="ListParagraph"/>
              <w:widowControl w:val="0"/>
              <w:numPr>
                <w:ilvl w:val="0"/>
                <w:numId w:val="3"/>
              </w:numPr>
              <w:tabs>
                <w:tab w:val="left" w:pos="339"/>
              </w:tabs>
              <w:rPr>
                <w:rFonts w:ascii="Tw Cen MT" w:hAnsi="Tw Cen MT" w:cs="Arial"/>
                <w:sz w:val="24"/>
                <w:szCs w:val="24"/>
              </w:rPr>
            </w:pPr>
            <w:r w:rsidRPr="005F305C">
              <w:rPr>
                <w:rFonts w:ascii="Tw Cen MT" w:hAnsi="Tw Cen MT" w:cs="Arial"/>
                <w:sz w:val="24"/>
                <w:szCs w:val="24"/>
              </w:rPr>
              <w:t>Extensive knowledge of safeguarding procedures and an ability to maintain and develop a culture of vigilance’ to safeguard the welfare of pupils.</w:t>
            </w:r>
          </w:p>
          <w:p w:rsidR="00141057" w:rsidRPr="005F305C" w:rsidRDefault="00141057" w:rsidP="00141057">
            <w:pPr>
              <w:pStyle w:val="ListParagraph"/>
              <w:numPr>
                <w:ilvl w:val="0"/>
                <w:numId w:val="3"/>
              </w:numPr>
              <w:tabs>
                <w:tab w:val="left" w:pos="339"/>
              </w:tabs>
              <w:rPr>
                <w:rFonts w:ascii="Tw Cen MT" w:hAnsi="Tw Cen MT" w:cs="Arial"/>
                <w:sz w:val="24"/>
                <w:szCs w:val="24"/>
              </w:rPr>
            </w:pPr>
            <w:r w:rsidRPr="005F305C">
              <w:rPr>
                <w:rFonts w:ascii="Tw Cen MT" w:hAnsi="Tw Cen MT" w:cs="Arial"/>
                <w:sz w:val="24"/>
                <w:szCs w:val="24"/>
              </w:rPr>
              <w:t xml:space="preserve">The nature and needs of pupils and communities in inner city and multi-racial areas such as Newham. </w:t>
            </w:r>
          </w:p>
          <w:p w:rsidR="00141057" w:rsidRPr="005F305C" w:rsidRDefault="00141057" w:rsidP="00141057">
            <w:pPr>
              <w:pStyle w:val="ListParagraph"/>
              <w:numPr>
                <w:ilvl w:val="0"/>
                <w:numId w:val="3"/>
              </w:numPr>
              <w:rPr>
                <w:rFonts w:ascii="Tw Cen MT" w:hAnsi="Tw Cen MT" w:cs="Arial"/>
                <w:sz w:val="24"/>
                <w:szCs w:val="24"/>
              </w:rPr>
            </w:pPr>
            <w:r w:rsidRPr="005F305C">
              <w:rPr>
                <w:rFonts w:ascii="Tw Cen MT" w:hAnsi="Tw Cen MT" w:cs="Arial"/>
                <w:sz w:val="24"/>
                <w:szCs w:val="24"/>
              </w:rPr>
              <w:t>The implementation of Newham’s policy of inclusive education and of equal opportunities practice throughout the school.</w:t>
            </w:r>
          </w:p>
          <w:p w:rsidR="00141057" w:rsidRPr="005F305C" w:rsidRDefault="00141057" w:rsidP="00141057">
            <w:pPr>
              <w:pStyle w:val="ListParagraph"/>
              <w:widowControl w:val="0"/>
              <w:numPr>
                <w:ilvl w:val="0"/>
                <w:numId w:val="3"/>
              </w:numPr>
              <w:tabs>
                <w:tab w:val="left" w:pos="339"/>
              </w:tabs>
              <w:rPr>
                <w:rFonts w:ascii="Tw Cen MT" w:hAnsi="Tw Cen MT" w:cs="Arial"/>
                <w:sz w:val="24"/>
                <w:szCs w:val="24"/>
              </w:rPr>
            </w:pPr>
            <w:r w:rsidRPr="005F305C">
              <w:rPr>
                <w:rFonts w:ascii="Tw Cen MT" w:hAnsi="Tw Cen MT" w:cs="Arial"/>
                <w:sz w:val="24"/>
                <w:szCs w:val="24"/>
              </w:rPr>
              <w:t>Effective procedures to ensure good behaviour and discipline in the school with the co-operation of all staff.</w:t>
            </w:r>
          </w:p>
          <w:p w:rsidR="00141057" w:rsidRPr="005F305C" w:rsidRDefault="00141057" w:rsidP="00141057">
            <w:pPr>
              <w:pStyle w:val="ListParagraph"/>
              <w:numPr>
                <w:ilvl w:val="0"/>
                <w:numId w:val="3"/>
              </w:numPr>
              <w:rPr>
                <w:rFonts w:ascii="Tw Cen MT" w:hAnsi="Tw Cen MT" w:cs="Arial"/>
                <w:sz w:val="24"/>
                <w:szCs w:val="24"/>
              </w:rPr>
            </w:pPr>
            <w:r w:rsidRPr="005F305C">
              <w:rPr>
                <w:rFonts w:ascii="Tw Cen MT" w:hAnsi="Tw Cen MT" w:cs="Arial"/>
                <w:sz w:val="24"/>
                <w:szCs w:val="24"/>
              </w:rPr>
              <w:t>Strategies for promoting pupil’s spiritual, moral, social, and cultural development and to foster respect for the diversity of the school’s community</w:t>
            </w:r>
          </w:p>
          <w:p w:rsidR="00141057" w:rsidRPr="005F305C" w:rsidRDefault="00141057" w:rsidP="00141057">
            <w:pPr>
              <w:pStyle w:val="ListParagraph"/>
              <w:numPr>
                <w:ilvl w:val="0"/>
                <w:numId w:val="3"/>
              </w:numPr>
              <w:tabs>
                <w:tab w:val="left" w:pos="339"/>
              </w:tabs>
              <w:rPr>
                <w:rFonts w:ascii="Tw Cen MT" w:hAnsi="Tw Cen MT" w:cs="Arial"/>
                <w:sz w:val="24"/>
                <w:szCs w:val="24"/>
              </w:rPr>
            </w:pPr>
            <w:r w:rsidRPr="005F305C">
              <w:rPr>
                <w:rFonts w:ascii="Tw Cen MT" w:hAnsi="Tw Cen MT" w:cs="Arial"/>
                <w:sz w:val="24"/>
                <w:szCs w:val="24"/>
              </w:rPr>
              <w:t>The principles and methods of assessment and effective record keeping and their use to promote the educational, personal development and progression of the pupils.</w:t>
            </w:r>
          </w:p>
          <w:p w:rsidR="00141057" w:rsidRPr="005F305C" w:rsidRDefault="00141057" w:rsidP="00141057">
            <w:pPr>
              <w:pStyle w:val="ListParagraph"/>
              <w:numPr>
                <w:ilvl w:val="0"/>
                <w:numId w:val="3"/>
              </w:numPr>
              <w:tabs>
                <w:tab w:val="left" w:pos="339"/>
              </w:tabs>
              <w:rPr>
                <w:rFonts w:ascii="Tw Cen MT" w:hAnsi="Tw Cen MT" w:cs="Arial"/>
                <w:sz w:val="24"/>
                <w:szCs w:val="24"/>
              </w:rPr>
            </w:pPr>
            <w:r w:rsidRPr="005F305C">
              <w:rPr>
                <w:rFonts w:ascii="Tw Cen MT" w:hAnsi="Tw Cen MT" w:cs="Arial"/>
                <w:sz w:val="24"/>
                <w:szCs w:val="24"/>
              </w:rPr>
              <w:t>The use of strategies for raising pupil achievement and the value of target setting.</w:t>
            </w:r>
          </w:p>
          <w:p w:rsidR="00141057" w:rsidRPr="005F305C" w:rsidRDefault="00141057" w:rsidP="00141057">
            <w:pPr>
              <w:pStyle w:val="ListParagraph"/>
              <w:numPr>
                <w:ilvl w:val="0"/>
                <w:numId w:val="3"/>
              </w:numPr>
              <w:tabs>
                <w:tab w:val="left" w:pos="339"/>
              </w:tabs>
              <w:rPr>
                <w:rFonts w:ascii="Tw Cen MT" w:hAnsi="Tw Cen MT" w:cs="Arial"/>
                <w:sz w:val="24"/>
                <w:szCs w:val="24"/>
              </w:rPr>
            </w:pPr>
            <w:r w:rsidRPr="005F305C">
              <w:rPr>
                <w:rFonts w:ascii="Tw Cen MT" w:hAnsi="Tw Cen MT" w:cs="Arial"/>
                <w:sz w:val="24"/>
                <w:szCs w:val="24"/>
              </w:rPr>
              <w:lastRenderedPageBreak/>
              <w:t>Demonstrate the creative use of ICT across the curriculum and as a communication and management tool</w:t>
            </w:r>
          </w:p>
          <w:p w:rsidR="00141057" w:rsidRPr="005F305C" w:rsidRDefault="00141057" w:rsidP="00141057">
            <w:pPr>
              <w:pStyle w:val="ListParagraph"/>
              <w:numPr>
                <w:ilvl w:val="0"/>
                <w:numId w:val="3"/>
              </w:numPr>
              <w:rPr>
                <w:rFonts w:ascii="Tw Cen MT" w:hAnsi="Tw Cen MT" w:cs="Arial"/>
                <w:sz w:val="24"/>
                <w:szCs w:val="24"/>
              </w:rPr>
            </w:pPr>
            <w:r w:rsidRPr="005F305C">
              <w:rPr>
                <w:rFonts w:ascii="Tw Cen MT" w:hAnsi="Tw Cen MT" w:cs="Arial"/>
                <w:sz w:val="24"/>
                <w:szCs w:val="24"/>
              </w:rPr>
              <w:t>Effective quality assurance approaches, including staff appraisal and development to secure accountability and improve performance.</w:t>
            </w:r>
          </w:p>
          <w:p w:rsidR="00141057" w:rsidRPr="005F305C" w:rsidRDefault="00141057" w:rsidP="00141057">
            <w:pPr>
              <w:pStyle w:val="ListParagraph"/>
              <w:numPr>
                <w:ilvl w:val="0"/>
                <w:numId w:val="3"/>
              </w:numPr>
              <w:rPr>
                <w:rFonts w:ascii="Tw Cen MT" w:hAnsi="Tw Cen MT" w:cs="Arial"/>
                <w:sz w:val="24"/>
                <w:szCs w:val="24"/>
              </w:rPr>
            </w:pPr>
            <w:r w:rsidRPr="005F305C">
              <w:rPr>
                <w:rFonts w:ascii="Tw Cen MT" w:hAnsi="Tw Cen MT" w:cs="Arial"/>
                <w:sz w:val="24"/>
                <w:szCs w:val="24"/>
              </w:rPr>
              <w:t>Health and safety, premises and personnel procedures related to the management of a school.</w:t>
            </w:r>
          </w:p>
          <w:p w:rsidR="00141057" w:rsidRPr="005F305C" w:rsidRDefault="00141057" w:rsidP="00141057">
            <w:pPr>
              <w:pStyle w:val="ListParagraph"/>
              <w:numPr>
                <w:ilvl w:val="0"/>
                <w:numId w:val="3"/>
              </w:numPr>
              <w:rPr>
                <w:rFonts w:ascii="Tw Cen MT" w:hAnsi="Tw Cen MT" w:cs="Arial"/>
                <w:sz w:val="24"/>
                <w:szCs w:val="24"/>
              </w:rPr>
            </w:pPr>
            <w:r w:rsidRPr="005F305C">
              <w:rPr>
                <w:rFonts w:ascii="Tw Cen MT" w:hAnsi="Tw Cen MT" w:cs="Arial"/>
                <w:sz w:val="24"/>
                <w:szCs w:val="24"/>
              </w:rPr>
              <w:t>The role of Governors in the leadership of the school to develop and maintain the school’s vision.</w:t>
            </w:r>
          </w:p>
          <w:p w:rsidR="00141057" w:rsidRPr="005F305C" w:rsidRDefault="00141057" w:rsidP="00141057">
            <w:pPr>
              <w:pStyle w:val="ListParagraph"/>
              <w:numPr>
                <w:ilvl w:val="0"/>
                <w:numId w:val="3"/>
              </w:numPr>
              <w:rPr>
                <w:rFonts w:ascii="Tw Cen MT" w:hAnsi="Tw Cen MT" w:cs="Arial"/>
                <w:sz w:val="24"/>
                <w:szCs w:val="24"/>
              </w:rPr>
            </w:pPr>
            <w:r w:rsidRPr="005F305C">
              <w:rPr>
                <w:rFonts w:ascii="Tw Cen MT" w:hAnsi="Tw Cen MT" w:cs="Arial"/>
                <w:sz w:val="24"/>
                <w:szCs w:val="24"/>
              </w:rPr>
              <w:t>The promotion of community education and parental and community involvement in order to raise levels of achievement.</w:t>
            </w:r>
          </w:p>
        </w:tc>
        <w:tc>
          <w:tcPr>
            <w:tcW w:w="3544" w:type="dxa"/>
            <w:shd w:val="clear" w:color="auto" w:fill="auto"/>
          </w:tcPr>
          <w:p w:rsidR="00141057" w:rsidRPr="005F305C" w:rsidRDefault="00141057" w:rsidP="00694A15">
            <w:pPr>
              <w:rPr>
                <w:rFonts w:ascii="Tw Cen MT" w:hAnsi="Tw Cen MT" w:cs="Arial"/>
                <w:sz w:val="24"/>
                <w:szCs w:val="24"/>
              </w:rPr>
            </w:pPr>
          </w:p>
        </w:tc>
      </w:tr>
    </w:tbl>
    <w:p w:rsidR="00141057" w:rsidRPr="005F305C" w:rsidRDefault="00141057" w:rsidP="00141057">
      <w:pPr>
        <w:spacing w:after="80"/>
        <w:rPr>
          <w:rFonts w:ascii="Tw Cen MT" w:hAnsi="Tw Cen MT" w:cs="Arial"/>
          <w:i/>
          <w:sz w:val="24"/>
          <w:szCs w:val="24"/>
        </w:rPr>
      </w:pPr>
    </w:p>
    <w:p w:rsidR="00141057" w:rsidRPr="005F305C" w:rsidRDefault="00141057" w:rsidP="00141057">
      <w:pPr>
        <w:spacing w:after="80"/>
        <w:rPr>
          <w:rFonts w:ascii="Tw Cen MT" w:hAnsi="Tw Cen MT" w:cs="Arial"/>
          <w:i/>
          <w:sz w:val="24"/>
          <w:szCs w:val="24"/>
        </w:rPr>
      </w:pPr>
      <w:r w:rsidRPr="005F305C">
        <w:rPr>
          <w:rFonts w:ascii="Tw Cen MT" w:hAnsi="Tw Cen MT" w:cs="Arial"/>
          <w:i/>
          <w:sz w:val="24"/>
          <w:szCs w:val="24"/>
        </w:rPr>
        <w:t>Newham Council is an Equal Opportunity Employer and recognises that some candidates may have been forced into an untypical or unconventional career path because of unavoidable personal circumstances or the prejudice they have met in life. Should this apply to you, we hope you will not be deterred from making an application, which will be considered on your overall fulfilment of the requirements of this person specification.</w:t>
      </w:r>
    </w:p>
    <w:p w:rsidR="00141057" w:rsidRPr="005F305C" w:rsidRDefault="00141057" w:rsidP="00141057">
      <w:pPr>
        <w:rPr>
          <w:rFonts w:ascii="Tw Cen MT" w:hAnsi="Tw Cen MT" w:cs="Tahoma"/>
          <w:color w:val="012A60"/>
          <w:sz w:val="24"/>
          <w:szCs w:val="24"/>
        </w:rPr>
      </w:pPr>
    </w:p>
    <w:p w:rsidR="00141057" w:rsidRPr="005F305C" w:rsidRDefault="00141057" w:rsidP="00141057">
      <w:pPr>
        <w:rPr>
          <w:rFonts w:ascii="Tw Cen MT" w:hAnsi="Tw Cen MT" w:cs="Tahoma"/>
          <w:color w:val="012A60"/>
          <w:sz w:val="24"/>
          <w:szCs w:val="24"/>
        </w:rPr>
      </w:pPr>
    </w:p>
    <w:p w:rsidR="00141057" w:rsidRPr="005F305C" w:rsidRDefault="00141057" w:rsidP="00141057">
      <w:pPr>
        <w:rPr>
          <w:rFonts w:ascii="Tw Cen MT" w:hAnsi="Tw Cen MT" w:cs="Arial"/>
          <w:b/>
          <w:sz w:val="24"/>
          <w:szCs w:val="24"/>
        </w:rPr>
      </w:pPr>
      <w:r w:rsidRPr="005F305C">
        <w:rPr>
          <w:rFonts w:ascii="Tw Cen MT" w:hAnsi="Tw Cen MT" w:cs="Arial"/>
          <w:b/>
          <w:sz w:val="24"/>
          <w:szCs w:val="24"/>
        </w:rPr>
        <w:t>The school is committed to safeguarding and promoting the welfare of children and young people and expects all staff and volunteers to share this commitment.</w:t>
      </w:r>
    </w:p>
    <w:p w:rsidR="00CD017A" w:rsidRPr="00083C46" w:rsidRDefault="00CD017A" w:rsidP="00CD017A">
      <w:pPr>
        <w:tabs>
          <w:tab w:val="left" w:pos="0"/>
          <w:tab w:val="left" w:pos="8789"/>
        </w:tabs>
        <w:jc w:val="both"/>
        <w:rPr>
          <w:rFonts w:ascii="Arial" w:hAnsi="Arial" w:cs="Arial"/>
          <w:sz w:val="22"/>
          <w:szCs w:val="22"/>
        </w:rPr>
      </w:pPr>
    </w:p>
    <w:sectPr w:rsidR="00CD017A" w:rsidRPr="00083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13350"/>
    <w:multiLevelType w:val="multilevel"/>
    <w:tmpl w:val="70D077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0439BA"/>
    <w:multiLevelType w:val="multilevel"/>
    <w:tmpl w:val="B67AD5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0848E5"/>
    <w:multiLevelType w:val="hybridMultilevel"/>
    <w:tmpl w:val="807C753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3680210"/>
    <w:multiLevelType w:val="singleLevel"/>
    <w:tmpl w:val="8572EF08"/>
    <w:lvl w:ilvl="0">
      <w:start w:val="1"/>
      <w:numFmt w:val="decimal"/>
      <w:lvlText w:val="%1."/>
      <w:lvlJc w:val="left"/>
      <w:pPr>
        <w:tabs>
          <w:tab w:val="num" w:pos="720"/>
        </w:tabs>
        <w:ind w:left="720" w:hanging="720"/>
      </w:pPr>
      <w:rPr>
        <w:rFonts w:hint="default"/>
      </w:rPr>
    </w:lvl>
  </w:abstractNum>
  <w:abstractNum w:abstractNumId="4" w15:restartNumberingAfterBreak="0">
    <w:nsid w:val="28672C13"/>
    <w:multiLevelType w:val="multilevel"/>
    <w:tmpl w:val="3988A8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BD30F5"/>
    <w:multiLevelType w:val="multilevel"/>
    <w:tmpl w:val="A734F3E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2A762E"/>
    <w:multiLevelType w:val="multilevel"/>
    <w:tmpl w:val="38208D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707F5C"/>
    <w:multiLevelType w:val="multilevel"/>
    <w:tmpl w:val="8EDE4D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6E4053"/>
    <w:multiLevelType w:val="singleLevel"/>
    <w:tmpl w:val="E2A22792"/>
    <w:lvl w:ilvl="0">
      <w:start w:val="1"/>
      <w:numFmt w:val="lowerLetter"/>
      <w:lvlText w:val="%1)"/>
      <w:lvlJc w:val="left"/>
      <w:pPr>
        <w:tabs>
          <w:tab w:val="num" w:pos="1440"/>
        </w:tabs>
        <w:ind w:left="1440" w:hanging="720"/>
      </w:pPr>
      <w:rPr>
        <w:rFonts w:hint="default"/>
      </w:rPr>
    </w:lvl>
  </w:abstractNum>
  <w:abstractNum w:abstractNumId="9" w15:restartNumberingAfterBreak="0">
    <w:nsid w:val="50231BEB"/>
    <w:multiLevelType w:val="multilevel"/>
    <w:tmpl w:val="697058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2F4D80"/>
    <w:multiLevelType w:val="hybridMultilevel"/>
    <w:tmpl w:val="B472135E"/>
    <w:lvl w:ilvl="0" w:tplc="26E80DB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810E3A"/>
    <w:multiLevelType w:val="hybridMultilevel"/>
    <w:tmpl w:val="F96075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C72AE2"/>
    <w:multiLevelType w:val="hybridMultilevel"/>
    <w:tmpl w:val="967A56E2"/>
    <w:lvl w:ilvl="0" w:tplc="BDFA9F5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11"/>
  </w:num>
  <w:num w:numId="5">
    <w:abstractNumId w:val="3"/>
  </w:num>
  <w:num w:numId="6">
    <w:abstractNumId w:val="8"/>
  </w:num>
  <w:num w:numId="7">
    <w:abstractNumId w:val="1"/>
  </w:num>
  <w:num w:numId="8">
    <w:abstractNumId w:val="4"/>
  </w:num>
  <w:num w:numId="9">
    <w:abstractNumId w:val="6"/>
  </w:num>
  <w:num w:numId="10">
    <w:abstractNumId w:val="7"/>
  </w:num>
  <w:num w:numId="11">
    <w:abstractNumId w:val="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17A"/>
    <w:rsid w:val="00083C46"/>
    <w:rsid w:val="00141057"/>
    <w:rsid w:val="005F305C"/>
    <w:rsid w:val="00852EC7"/>
    <w:rsid w:val="00CD0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FDC6"/>
  <w15:chartTrackingRefBased/>
  <w15:docId w15:val="{A620BCED-FF44-48BE-B3D4-357BBA17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017A"/>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083C46"/>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17A"/>
    <w:pPr>
      <w:ind w:left="720"/>
      <w:contextualSpacing/>
    </w:pPr>
  </w:style>
  <w:style w:type="paragraph" w:styleId="NormalWeb">
    <w:name w:val="Normal (Web)"/>
    <w:basedOn w:val="Normal"/>
    <w:uiPriority w:val="99"/>
    <w:semiHidden/>
    <w:unhideWhenUsed/>
    <w:rsid w:val="00CD017A"/>
    <w:pPr>
      <w:spacing w:before="100" w:beforeAutospacing="1" w:after="100" w:afterAutospacing="1"/>
    </w:pPr>
    <w:rPr>
      <w:sz w:val="24"/>
      <w:szCs w:val="24"/>
    </w:rPr>
  </w:style>
  <w:style w:type="character" w:customStyle="1" w:styleId="Heading1Char">
    <w:name w:val="Heading 1 Char"/>
    <w:basedOn w:val="DefaultParagraphFont"/>
    <w:link w:val="Heading1"/>
    <w:rsid w:val="00083C46"/>
    <w:rPr>
      <w:rFonts w:ascii="Times New Roman" w:eastAsia="Times New Roman" w:hAnsi="Times New Roman" w:cs="Times New Roman"/>
      <w:b/>
      <w:sz w:val="24"/>
      <w:szCs w:val="20"/>
      <w:lang w:eastAsia="en-GB"/>
    </w:rPr>
  </w:style>
  <w:style w:type="paragraph" w:styleId="Subtitle">
    <w:name w:val="Subtitle"/>
    <w:basedOn w:val="Normal"/>
    <w:link w:val="SubtitleChar"/>
    <w:qFormat/>
    <w:rsid w:val="00083C46"/>
    <w:pPr>
      <w:jc w:val="center"/>
    </w:pPr>
    <w:rPr>
      <w:rFonts w:ascii="Arial" w:hAnsi="Arial"/>
      <w:b/>
    </w:rPr>
  </w:style>
  <w:style w:type="character" w:customStyle="1" w:styleId="SubtitleChar">
    <w:name w:val="Subtitle Char"/>
    <w:basedOn w:val="DefaultParagraphFont"/>
    <w:link w:val="Subtitle"/>
    <w:rsid w:val="00083C46"/>
    <w:rPr>
      <w:rFonts w:ascii="Arial" w:eastAsia="Times New Roman" w:hAnsi="Arial" w:cs="Times New Roman"/>
      <w:b/>
      <w:sz w:val="20"/>
      <w:szCs w:val="20"/>
      <w:lang w:eastAsia="en-GB"/>
    </w:rPr>
  </w:style>
  <w:style w:type="paragraph" w:customStyle="1" w:styleId="Default">
    <w:name w:val="Default"/>
    <w:rsid w:val="00083C46"/>
    <w:pPr>
      <w:autoSpaceDE w:val="0"/>
      <w:autoSpaceDN w:val="0"/>
      <w:adjustRightInd w:val="0"/>
      <w:spacing w:after="0" w:line="240" w:lineRule="auto"/>
    </w:pPr>
    <w:rPr>
      <w:rFonts w:ascii="Calibri" w:eastAsia="Calibri" w:hAnsi="Calibri" w:cs="Calibri"/>
      <w:color w:val="000000"/>
      <w:sz w:val="24"/>
      <w:szCs w:val="24"/>
    </w:rPr>
  </w:style>
  <w:style w:type="paragraph" w:styleId="NoSpacing">
    <w:name w:val="No Spacing"/>
    <w:uiPriority w:val="1"/>
    <w:qFormat/>
    <w:rsid w:val="00083C46"/>
    <w:pPr>
      <w:spacing w:after="0" w:line="240" w:lineRule="auto"/>
      <w:ind w:left="10" w:hanging="10"/>
    </w:pPr>
    <w:rPr>
      <w:rFonts w:ascii="Arial" w:eastAsia="Arial" w:hAnsi="Arial" w:cs="Arial"/>
      <w:color w:val="000000"/>
      <w:sz w:val="2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09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799</Words>
  <Characters>4558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Aylett2</dc:creator>
  <cp:keywords/>
  <dc:description/>
  <cp:lastModifiedBy>rashpal.wasson</cp:lastModifiedBy>
  <cp:revision>2</cp:revision>
  <dcterms:created xsi:type="dcterms:W3CDTF">2024-09-04T07:38:00Z</dcterms:created>
  <dcterms:modified xsi:type="dcterms:W3CDTF">2024-09-04T07:38:00Z</dcterms:modified>
</cp:coreProperties>
</file>