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F8" w:rsidRDefault="003A63F8">
      <w:pPr>
        <w:jc w:val="center"/>
      </w:pPr>
      <w:bookmarkStart w:id="0" w:name="_GoBack"/>
      <w:bookmarkEnd w:id="0"/>
    </w:p>
    <w:p w:rsidR="003A63F8" w:rsidRDefault="003A63F8">
      <w:pPr>
        <w:jc w:val="center"/>
        <w:rPr>
          <w:b/>
        </w:rPr>
      </w:pPr>
    </w:p>
    <w:p w:rsidR="003A63F8" w:rsidRDefault="008A23FE">
      <w:pPr>
        <w:spacing w:line="240" w:lineRule="auto"/>
      </w:pPr>
      <w:r>
        <w:rPr>
          <w:b/>
        </w:rPr>
        <w:t>Job Title:</w:t>
      </w:r>
      <w:r>
        <w:tab/>
      </w:r>
      <w:r>
        <w:tab/>
      </w:r>
      <w:r>
        <w:tab/>
        <w:t>Administrative Assistant</w:t>
      </w:r>
      <w:r>
        <w:tab/>
      </w:r>
    </w:p>
    <w:p w:rsidR="003A63F8" w:rsidRDefault="003A63F8">
      <w:pPr>
        <w:spacing w:line="240" w:lineRule="auto"/>
        <w:rPr>
          <w:b/>
        </w:rPr>
      </w:pPr>
    </w:p>
    <w:p w:rsidR="003A63F8" w:rsidRDefault="008A23FE">
      <w:pPr>
        <w:spacing w:line="240" w:lineRule="auto"/>
      </w:pPr>
      <w:r>
        <w:rPr>
          <w:b/>
        </w:rPr>
        <w:t>Grade</w:t>
      </w:r>
      <w:r>
        <w:t>:</w:t>
      </w:r>
      <w:r>
        <w:tab/>
      </w:r>
      <w:r>
        <w:tab/>
      </w:r>
      <w:r>
        <w:tab/>
      </w:r>
      <w:r>
        <w:tab/>
        <w:t>2</w:t>
      </w:r>
    </w:p>
    <w:p w:rsidR="003A63F8" w:rsidRDefault="003A63F8">
      <w:pPr>
        <w:spacing w:line="240" w:lineRule="auto"/>
      </w:pPr>
    </w:p>
    <w:p w:rsidR="003A63F8" w:rsidRDefault="008A23FE">
      <w:pPr>
        <w:spacing w:line="240" w:lineRule="auto"/>
      </w:pPr>
      <w:r>
        <w:rPr>
          <w:b/>
        </w:rPr>
        <w:t>Contract type:</w:t>
      </w:r>
      <w:r>
        <w:rPr>
          <w:b/>
        </w:rPr>
        <w:tab/>
      </w:r>
      <w:r>
        <w:rPr>
          <w:b/>
        </w:rPr>
        <w:tab/>
      </w:r>
      <w:r>
        <w:t xml:space="preserve">Permanent/Part Time 35 </w:t>
      </w:r>
      <w:proofErr w:type="spellStart"/>
      <w:r>
        <w:t>hrs</w:t>
      </w:r>
      <w:proofErr w:type="spellEnd"/>
      <w:r>
        <w:t xml:space="preserve"> per week/ 39 weeks per year </w:t>
      </w:r>
    </w:p>
    <w:p w:rsidR="003A63F8" w:rsidRDefault="003A63F8">
      <w:pPr>
        <w:spacing w:line="240" w:lineRule="auto"/>
      </w:pPr>
    </w:p>
    <w:p w:rsidR="003A63F8" w:rsidRDefault="008A23FE">
      <w:pPr>
        <w:spacing w:line="240" w:lineRule="auto"/>
      </w:pPr>
      <w:r>
        <w:rPr>
          <w:b/>
        </w:rPr>
        <w:t>School:</w:t>
      </w:r>
      <w:r>
        <w:tab/>
      </w:r>
      <w:r>
        <w:tab/>
      </w:r>
      <w:r>
        <w:tab/>
      </w:r>
      <w:r>
        <w:rPr>
          <w:highlight w:val="green"/>
        </w:rPr>
        <w:t>Elm Park Primary School</w:t>
      </w:r>
      <w:r>
        <w:t>/RJ Mitchell Primary School</w:t>
      </w:r>
    </w:p>
    <w:p w:rsidR="003A63F8" w:rsidRDefault="003A63F8">
      <w:pPr>
        <w:spacing w:line="240" w:lineRule="auto"/>
      </w:pPr>
    </w:p>
    <w:p w:rsidR="003A63F8" w:rsidRDefault="008A23FE">
      <w:pPr>
        <w:spacing w:line="240" w:lineRule="auto"/>
      </w:pPr>
      <w:r>
        <w:rPr>
          <w:b/>
        </w:rPr>
        <w:t>Reports To</w:t>
      </w:r>
      <w:r>
        <w:t>:</w:t>
      </w:r>
      <w:r>
        <w:tab/>
      </w:r>
      <w:r>
        <w:tab/>
      </w:r>
      <w:r>
        <w:tab/>
        <w:t>School Business Manager</w:t>
      </w:r>
    </w:p>
    <w:p w:rsidR="003A63F8" w:rsidRDefault="003A63F8">
      <w:pPr>
        <w:spacing w:line="240" w:lineRule="auto"/>
      </w:pPr>
    </w:p>
    <w:p w:rsidR="003A63F8" w:rsidRDefault="008A23FE">
      <w:pPr>
        <w:spacing w:line="240" w:lineRule="auto"/>
        <w:rPr>
          <w:sz w:val="24"/>
          <w:szCs w:val="24"/>
        </w:rPr>
      </w:pPr>
      <w:r>
        <w:rPr>
          <w:b/>
        </w:rPr>
        <w:t xml:space="preserve">Responsible for: </w:t>
      </w:r>
      <w:r>
        <w:rPr>
          <w:b/>
        </w:rPr>
        <w:tab/>
      </w:r>
      <w:r>
        <w:rPr>
          <w:b/>
        </w:rPr>
        <w:tab/>
      </w:r>
      <w:r>
        <w:rPr>
          <w:sz w:val="24"/>
          <w:szCs w:val="24"/>
        </w:rPr>
        <w:t xml:space="preserve">making sure that the efficient and effective organisation and </w:t>
      </w:r>
    </w:p>
    <w:p w:rsidR="003A63F8" w:rsidRDefault="008A23FE">
      <w:pPr>
        <w:spacing w:line="240" w:lineRule="auto"/>
        <w:ind w:left="216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administration</w:t>
      </w:r>
      <w:proofErr w:type="gramEnd"/>
      <w:r>
        <w:rPr>
          <w:sz w:val="24"/>
          <w:szCs w:val="24"/>
        </w:rPr>
        <w:t xml:space="preserve"> of school processes, procedures and policies </w:t>
      </w:r>
    </w:p>
    <w:p w:rsidR="003A63F8" w:rsidRDefault="008A23FE">
      <w:pPr>
        <w:spacing w:line="240" w:lineRule="auto"/>
        <w:ind w:left="2160" w:firstLine="720"/>
      </w:pPr>
      <w:proofErr w:type="gramStart"/>
      <w:r>
        <w:rPr>
          <w:sz w:val="24"/>
          <w:szCs w:val="24"/>
        </w:rPr>
        <w:t>delivers</w:t>
      </w:r>
      <w:proofErr w:type="gramEnd"/>
      <w:r>
        <w:rPr>
          <w:sz w:val="24"/>
          <w:szCs w:val="24"/>
        </w:rPr>
        <w:t xml:space="preserve"> the best possible service to all stakeholders. </w:t>
      </w:r>
      <w:r>
        <w:br/>
      </w:r>
    </w:p>
    <w:p w:rsidR="003A63F8" w:rsidRDefault="008A23FE">
      <w:pPr>
        <w:tabs>
          <w:tab w:val="center" w:pos="4320"/>
          <w:tab w:val="right" w:pos="8640"/>
        </w:tabs>
        <w:spacing w:line="240" w:lineRule="auto"/>
        <w:ind w:left="2880"/>
      </w:pPr>
      <w:r>
        <w:rPr>
          <w:b/>
        </w:rPr>
        <w:t>Staff Managed:</w:t>
      </w:r>
      <w:r>
        <w:tab/>
        <w:t>None</w:t>
      </w:r>
    </w:p>
    <w:p w:rsidR="003A63F8" w:rsidRDefault="008A23FE">
      <w:pPr>
        <w:tabs>
          <w:tab w:val="center" w:pos="4320"/>
          <w:tab w:val="right" w:pos="8640"/>
        </w:tabs>
        <w:spacing w:line="24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3A63F8" w:rsidRDefault="008A23FE">
      <w:pPr>
        <w:pStyle w:val="Heading2"/>
        <w:keepLines w:val="0"/>
        <w:spacing w:before="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Job Purpose</w:t>
      </w:r>
    </w:p>
    <w:p w:rsidR="003A63F8" w:rsidRDefault="008A23FE">
      <w:pPr>
        <w:tabs>
          <w:tab w:val="center" w:pos="4320"/>
          <w:tab w:val="right" w:pos="8640"/>
        </w:tabs>
        <w:spacing w:line="240" w:lineRule="auto"/>
      </w:pPr>
      <w:r>
        <w:t>An Administrative Assistant is a member of the school support staff, one of a team responsible for making sure that the efficient and effective organisation and administration of school processes, procedures and policies delivers the best possible service to all stakeholders. In a secondary school, an Administrative Assistant may work as part of a department, faculty or curriculum area.</w:t>
      </w:r>
    </w:p>
    <w:p w:rsidR="003A63F8" w:rsidRDefault="008A23FE">
      <w:pPr>
        <w:tabs>
          <w:tab w:val="center" w:pos="4320"/>
          <w:tab w:val="right" w:pos="8640"/>
        </w:tabs>
        <w:spacing w:line="240" w:lineRule="auto"/>
      </w:pPr>
      <w:r>
        <w:t xml:space="preserve"> The Administrative Assistant is often a first point of contact and is, therefore, expected to demonstrate exemplary customer service to both internal and external customers.</w:t>
      </w:r>
      <w:r>
        <w:tab/>
      </w:r>
      <w:r>
        <w:tab/>
      </w:r>
    </w:p>
    <w:p w:rsidR="003A63F8" w:rsidRDefault="008A23FE">
      <w:pPr>
        <w:pStyle w:val="Heading1"/>
        <w:keepLines w:val="0"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Roles and responsibilities</w:t>
      </w:r>
    </w:p>
    <w:p w:rsidR="003A63F8" w:rsidRDefault="008A23FE">
      <w:pPr>
        <w:numPr>
          <w:ilvl w:val="0"/>
          <w:numId w:val="3"/>
        </w:numPr>
        <w:spacing w:line="240" w:lineRule="auto"/>
      </w:pPr>
      <w:r>
        <w:t>To communicate with people in person, on the telephone and using email to:</w:t>
      </w:r>
    </w:p>
    <w:tbl>
      <w:tblPr>
        <w:tblStyle w:val="a"/>
        <w:tblW w:w="9375" w:type="dxa"/>
        <w:tblInd w:w="374" w:type="dxa"/>
        <w:tblLayout w:type="fixed"/>
        <w:tblLook w:val="0000" w:firstRow="0" w:lastRow="0" w:firstColumn="0" w:lastColumn="0" w:noHBand="0" w:noVBand="0"/>
      </w:tblPr>
      <w:tblGrid>
        <w:gridCol w:w="9375"/>
      </w:tblGrid>
      <w:tr w:rsidR="003A63F8">
        <w:tc>
          <w:tcPr>
            <w:tcW w:w="9375" w:type="dxa"/>
          </w:tcPr>
          <w:p w:rsidR="003A63F8" w:rsidRDefault="008A23FE">
            <w:pPr>
              <w:numPr>
                <w:ilvl w:val="0"/>
                <w:numId w:val="1"/>
              </w:numPr>
              <w:spacing w:line="240" w:lineRule="auto"/>
            </w:pPr>
            <w:r>
              <w:t>respond to queries</w:t>
            </w:r>
          </w:p>
        </w:tc>
      </w:tr>
      <w:tr w:rsidR="003A63F8">
        <w:tc>
          <w:tcPr>
            <w:tcW w:w="9375" w:type="dxa"/>
          </w:tcPr>
          <w:p w:rsidR="003A63F8" w:rsidRDefault="008A23FE">
            <w:pPr>
              <w:numPr>
                <w:ilvl w:val="0"/>
                <w:numId w:val="1"/>
              </w:numPr>
              <w:spacing w:line="240" w:lineRule="auto"/>
            </w:pPr>
            <w:r>
              <w:t>provide information and services</w:t>
            </w:r>
          </w:p>
        </w:tc>
      </w:tr>
      <w:tr w:rsidR="003A63F8">
        <w:tc>
          <w:tcPr>
            <w:tcW w:w="9375" w:type="dxa"/>
          </w:tcPr>
          <w:p w:rsidR="003A63F8" w:rsidRDefault="008A23FE">
            <w:pPr>
              <w:numPr>
                <w:ilvl w:val="0"/>
                <w:numId w:val="1"/>
              </w:numPr>
              <w:spacing w:line="240" w:lineRule="auto"/>
            </w:pPr>
            <w:r>
              <w:t>take and record messages (using the school systems)</w:t>
            </w:r>
          </w:p>
        </w:tc>
      </w:tr>
    </w:tbl>
    <w:p w:rsidR="003A63F8" w:rsidRDefault="003A63F8">
      <w:pPr>
        <w:tabs>
          <w:tab w:val="center" w:pos="4320"/>
          <w:tab w:val="right" w:pos="8640"/>
        </w:tabs>
        <w:spacing w:line="240" w:lineRule="auto"/>
      </w:pPr>
    </w:p>
    <w:p w:rsidR="003A63F8" w:rsidRDefault="008A23FE">
      <w:pPr>
        <w:numPr>
          <w:ilvl w:val="0"/>
          <w:numId w:val="3"/>
        </w:numPr>
        <w:spacing w:line="240" w:lineRule="auto"/>
      </w:pPr>
      <w:r>
        <w:t>To use the school reprographics systems to copy and distribute documents, make sure there is a supply of the materials required to operate the systems and report and record faults.</w:t>
      </w:r>
    </w:p>
    <w:p w:rsidR="003A63F8" w:rsidRDefault="003A63F8">
      <w:pPr>
        <w:spacing w:line="240" w:lineRule="auto"/>
      </w:pPr>
    </w:p>
    <w:p w:rsidR="003A63F8" w:rsidRDefault="008A23FE">
      <w:pPr>
        <w:numPr>
          <w:ilvl w:val="0"/>
          <w:numId w:val="3"/>
        </w:numPr>
        <w:spacing w:line="240" w:lineRule="auto"/>
      </w:pPr>
      <w:r>
        <w:t>To produce letters and documents using word processing equipment</w:t>
      </w:r>
    </w:p>
    <w:p w:rsidR="003A63F8" w:rsidRDefault="003A63F8">
      <w:pPr>
        <w:spacing w:line="240" w:lineRule="auto"/>
      </w:pPr>
    </w:p>
    <w:p w:rsidR="003A63F8" w:rsidRDefault="008A23FE">
      <w:pPr>
        <w:numPr>
          <w:ilvl w:val="0"/>
          <w:numId w:val="3"/>
        </w:numPr>
        <w:spacing w:line="240" w:lineRule="auto"/>
      </w:pPr>
      <w:r>
        <w:t>To receive, sort and distribute incoming messages, post and deliveries and to collect and dispatch outgoing mail, packages and so forth</w:t>
      </w:r>
    </w:p>
    <w:p w:rsidR="003A63F8" w:rsidRDefault="003A63F8">
      <w:pPr>
        <w:tabs>
          <w:tab w:val="center" w:pos="4320"/>
          <w:tab w:val="right" w:pos="8640"/>
        </w:tabs>
        <w:spacing w:line="240" w:lineRule="auto"/>
      </w:pPr>
    </w:p>
    <w:p w:rsidR="003A63F8" w:rsidRDefault="008A23FE">
      <w:pPr>
        <w:numPr>
          <w:ilvl w:val="0"/>
          <w:numId w:val="3"/>
        </w:numPr>
        <w:spacing w:line="240" w:lineRule="auto"/>
      </w:pPr>
      <w:r>
        <w:t>To support the organisation and arrangement of events – which may include (but not exclusively) training courses, assemblies, festivals and concerts – through the provision of materials, equipment, invitations, publicity and so forth</w:t>
      </w:r>
    </w:p>
    <w:p w:rsidR="003A63F8" w:rsidRDefault="003A63F8">
      <w:pPr>
        <w:tabs>
          <w:tab w:val="center" w:pos="4320"/>
          <w:tab w:val="right" w:pos="8640"/>
        </w:tabs>
        <w:spacing w:line="240" w:lineRule="auto"/>
      </w:pPr>
    </w:p>
    <w:p w:rsidR="003A63F8" w:rsidRDefault="008A23FE">
      <w:pPr>
        <w:numPr>
          <w:ilvl w:val="0"/>
          <w:numId w:val="3"/>
        </w:numPr>
        <w:spacing w:line="240" w:lineRule="auto"/>
      </w:pPr>
      <w:r>
        <w:t xml:space="preserve">To use </w:t>
      </w:r>
      <w:proofErr w:type="spellStart"/>
      <w:r>
        <w:t>computerised</w:t>
      </w:r>
      <w:proofErr w:type="spellEnd"/>
      <w:r>
        <w:t xml:space="preserve"> management information systems and/or paper based filing systems to enter, record and retrieve data and make returns required by a variety of sources. </w:t>
      </w:r>
    </w:p>
    <w:p w:rsidR="003A63F8" w:rsidRDefault="003A63F8">
      <w:pPr>
        <w:spacing w:line="240" w:lineRule="auto"/>
      </w:pPr>
    </w:p>
    <w:p w:rsidR="003A63F8" w:rsidRDefault="008A23FE">
      <w:pPr>
        <w:numPr>
          <w:ilvl w:val="0"/>
          <w:numId w:val="3"/>
        </w:numPr>
        <w:spacing w:line="240" w:lineRule="auto"/>
      </w:pPr>
      <w:r>
        <w:lastRenderedPageBreak/>
        <w:t>To be responsible for aspects of the school’s resources, monitoring supplies and stock, reporting orders required and reporting breakages and so forth</w:t>
      </w:r>
      <w:r>
        <w:br/>
      </w:r>
    </w:p>
    <w:p w:rsidR="003A63F8" w:rsidRDefault="008A23FE">
      <w:pPr>
        <w:numPr>
          <w:ilvl w:val="0"/>
          <w:numId w:val="3"/>
        </w:numPr>
        <w:spacing w:line="240" w:lineRule="auto"/>
      </w:pPr>
      <w:r>
        <w:t>To support the display of school information and the work of children and classes</w:t>
      </w:r>
      <w:r>
        <w:br/>
      </w:r>
    </w:p>
    <w:p w:rsidR="003A63F8" w:rsidRDefault="008A23FE">
      <w:pPr>
        <w:numPr>
          <w:ilvl w:val="0"/>
          <w:numId w:val="3"/>
        </w:numPr>
        <w:spacing w:line="240" w:lineRule="auto"/>
      </w:pPr>
      <w:r>
        <w:t>To provide support to teachers on administration, organisation and the provision and arrangement of resources</w:t>
      </w:r>
      <w:r>
        <w:br/>
      </w:r>
    </w:p>
    <w:p w:rsidR="003A63F8" w:rsidRDefault="008A23FE">
      <w:pPr>
        <w:numPr>
          <w:ilvl w:val="0"/>
          <w:numId w:val="3"/>
        </w:numPr>
        <w:spacing w:line="240" w:lineRule="auto"/>
      </w:pPr>
      <w:r>
        <w:t>To be responsible for the provision of First Aid (after training) in the event of accident or injury and for the completion of relevant documentation according to school procedures</w:t>
      </w:r>
      <w:r>
        <w:br/>
      </w:r>
    </w:p>
    <w:p w:rsidR="003A63F8" w:rsidRDefault="008A23FE">
      <w:pPr>
        <w:numPr>
          <w:ilvl w:val="0"/>
          <w:numId w:val="3"/>
        </w:numPr>
        <w:spacing w:line="240" w:lineRule="auto"/>
      </w:pPr>
      <w:r>
        <w:t>To support financial administration by receiving and recording income and following up debts and payments due</w:t>
      </w:r>
      <w:r>
        <w:br/>
      </w:r>
    </w:p>
    <w:p w:rsidR="003A63F8" w:rsidRDefault="008A23FE">
      <w:pPr>
        <w:numPr>
          <w:ilvl w:val="0"/>
          <w:numId w:val="3"/>
        </w:numPr>
        <w:spacing w:line="240" w:lineRule="auto"/>
      </w:pPr>
      <w:r>
        <w:t xml:space="preserve">To work in accordance with the values, culture, ethos, equalities and inclusion policies of the school proactively promoting anti-racist, anti-sexist and anti-discriminatory </w:t>
      </w:r>
      <w:proofErr w:type="spellStart"/>
      <w:r>
        <w:t>behaviours</w:t>
      </w:r>
      <w:proofErr w:type="spellEnd"/>
      <w:r>
        <w:t xml:space="preserve"> in the day-to-day operation of the job.</w:t>
      </w:r>
      <w:r>
        <w:br/>
      </w:r>
    </w:p>
    <w:p w:rsidR="003A63F8" w:rsidRDefault="008A23FE">
      <w:pPr>
        <w:numPr>
          <w:ilvl w:val="0"/>
          <w:numId w:val="3"/>
        </w:numPr>
        <w:spacing w:line="240" w:lineRule="auto"/>
      </w:pPr>
      <w:r>
        <w:t>To take appropriate action to identify, evaluate and minimise any risks to health, safety and security in the immediate working environment.</w:t>
      </w:r>
    </w:p>
    <w:p w:rsidR="003A63F8" w:rsidRDefault="003A63F8">
      <w:pPr>
        <w:spacing w:line="240" w:lineRule="auto"/>
        <w:rPr>
          <w:u w:val="single"/>
        </w:rPr>
      </w:pPr>
    </w:p>
    <w:p w:rsidR="003A63F8" w:rsidRDefault="008A23FE">
      <w:pPr>
        <w:numPr>
          <w:ilvl w:val="0"/>
          <w:numId w:val="3"/>
        </w:numPr>
        <w:spacing w:line="240" w:lineRule="auto"/>
      </w:pPr>
      <w:r>
        <w:t>To complete school based induction and any subsequent training, for example, modules leading to the ECDL certification in ICT at level 1, required to improve performance.</w:t>
      </w:r>
      <w:r>
        <w:br/>
      </w:r>
    </w:p>
    <w:p w:rsidR="003A63F8" w:rsidRDefault="008A23FE">
      <w:pPr>
        <w:numPr>
          <w:ilvl w:val="0"/>
          <w:numId w:val="3"/>
        </w:numPr>
        <w:spacing w:line="240" w:lineRule="auto"/>
      </w:pPr>
      <w:r>
        <w:t>To take part in the school performance management system.</w:t>
      </w:r>
    </w:p>
    <w:p w:rsidR="003A63F8" w:rsidRDefault="003A63F8">
      <w:pPr>
        <w:spacing w:line="240" w:lineRule="auto"/>
        <w:rPr>
          <w:rFonts w:ascii="Times New Roman" w:eastAsia="Times New Roman" w:hAnsi="Times New Roman" w:cs="Times New Roman"/>
        </w:rPr>
      </w:pPr>
    </w:p>
    <w:p w:rsidR="003A63F8" w:rsidRDefault="008A23FE">
      <w:pPr>
        <w:spacing w:line="240" w:lineRule="auto"/>
      </w:pPr>
      <w:r>
        <w:rPr>
          <w:b/>
        </w:rPr>
        <w:t>Notes:</w:t>
      </w:r>
      <w:r>
        <w:rPr>
          <w:b/>
        </w:rPr>
        <w:br/>
      </w:r>
    </w:p>
    <w:p w:rsidR="003A63F8" w:rsidRDefault="008A23FE">
      <w:pPr>
        <w:numPr>
          <w:ilvl w:val="0"/>
          <w:numId w:val="2"/>
        </w:numPr>
        <w:spacing w:line="240" w:lineRule="auto"/>
      </w:pPr>
      <w:r>
        <w:t xml:space="preserve">The authority expects its employees to work flexibly within the framework of the duties and responsibilities specified above. This means that the </w:t>
      </w:r>
      <w:proofErr w:type="spellStart"/>
      <w:r>
        <w:t>postholder</w:t>
      </w:r>
      <w:proofErr w:type="spellEnd"/>
      <w:r>
        <w:t xml:space="preserve"> may be expected to carry out work that it not specified in the job profile but which is within the remit of the duties and responsibilities.</w:t>
      </w:r>
      <w:r>
        <w:br/>
      </w:r>
    </w:p>
    <w:p w:rsidR="003A63F8" w:rsidRDefault="008A23FE">
      <w:pPr>
        <w:numPr>
          <w:ilvl w:val="0"/>
          <w:numId w:val="2"/>
        </w:numPr>
        <w:spacing w:line="240" w:lineRule="auto"/>
      </w:pPr>
      <w:r>
        <w:t xml:space="preserve">Staff in schools work subject to statute and many policies and procedures. The </w:t>
      </w:r>
      <w:proofErr w:type="spellStart"/>
      <w:r>
        <w:t>postholder</w:t>
      </w:r>
      <w:proofErr w:type="spellEnd"/>
      <w:r>
        <w:t xml:space="preserve"> will be expected to become familiar with these and work in accordance with them.</w:t>
      </w:r>
      <w:r>
        <w:br/>
      </w:r>
    </w:p>
    <w:p w:rsidR="003A63F8" w:rsidRDefault="008A23FE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t xml:space="preserve">This is a new job profile for a new post. It will be subject to review with the </w:t>
      </w:r>
      <w:proofErr w:type="spellStart"/>
      <w:r>
        <w:t>postholder</w:t>
      </w:r>
      <w:proofErr w:type="spellEnd"/>
      <w:r>
        <w:t xml:space="preserve"> after one year and may then be reviewed from time to time.</w:t>
      </w:r>
    </w:p>
    <w:p w:rsidR="003A63F8" w:rsidRDefault="003A63F8">
      <w:pPr>
        <w:spacing w:line="240" w:lineRule="auto"/>
        <w:rPr>
          <w:b/>
        </w:rPr>
      </w:pPr>
    </w:p>
    <w:p w:rsidR="003A63F8" w:rsidRDefault="003A63F8">
      <w:pPr>
        <w:spacing w:line="240" w:lineRule="auto"/>
        <w:rPr>
          <w:b/>
        </w:rPr>
      </w:pPr>
    </w:p>
    <w:p w:rsidR="003A63F8" w:rsidRDefault="003A63F8">
      <w:pPr>
        <w:spacing w:line="240" w:lineRule="auto"/>
        <w:rPr>
          <w:b/>
        </w:rPr>
      </w:pPr>
    </w:p>
    <w:p w:rsidR="003A63F8" w:rsidRDefault="008A23F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b/>
        </w:rPr>
        <w:t>Signed</w:t>
      </w:r>
      <w:r>
        <w:rPr>
          <w:b/>
        </w:rPr>
        <w:tab/>
        <w:t xml:space="preserve">…………………………..   </w:t>
      </w:r>
      <w:r>
        <w:rPr>
          <w:b/>
        </w:rPr>
        <w:tab/>
      </w:r>
      <w:r>
        <w:rPr>
          <w:b/>
        </w:rPr>
        <w:tab/>
        <w:t>Date ……………….</w:t>
      </w:r>
    </w:p>
    <w:p w:rsidR="003A63F8" w:rsidRDefault="008A23F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A63F8" w:rsidRDefault="003A63F8">
      <w:pPr>
        <w:pStyle w:val="Title"/>
        <w:keepNext w:val="0"/>
        <w:keepLines w:val="0"/>
        <w:spacing w:after="0" w:line="240" w:lineRule="auto"/>
        <w:jc w:val="center"/>
        <w:rPr>
          <w:i/>
          <w:sz w:val="24"/>
          <w:szCs w:val="24"/>
        </w:rPr>
      </w:pPr>
    </w:p>
    <w:p w:rsidR="003A63F8" w:rsidRDefault="003A63F8"/>
    <w:p w:rsidR="003A63F8" w:rsidRDefault="003A63F8"/>
    <w:p w:rsidR="003A63F8" w:rsidRDefault="003A63F8"/>
    <w:p w:rsidR="003A63F8" w:rsidRDefault="003A63F8">
      <w:pPr>
        <w:pStyle w:val="Title"/>
        <w:keepNext w:val="0"/>
        <w:keepLines w:val="0"/>
        <w:spacing w:after="0" w:line="240" w:lineRule="auto"/>
        <w:rPr>
          <w:sz w:val="24"/>
          <w:szCs w:val="24"/>
        </w:rPr>
      </w:pPr>
    </w:p>
    <w:p w:rsidR="003A63F8" w:rsidRDefault="008A23FE">
      <w:pPr>
        <w:pStyle w:val="Subtitle"/>
        <w:keepNext w:val="0"/>
        <w:keepLines w:val="0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Administrative Assistant - Model Person Specification</w:t>
      </w:r>
    </w:p>
    <w:p w:rsidR="003A63F8" w:rsidRDefault="003A63F8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0"/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980"/>
      </w:tblGrid>
      <w:tr w:rsidR="003A63F8">
        <w:tc>
          <w:tcPr>
            <w:tcW w:w="4680" w:type="dxa"/>
            <w:tcBorders>
              <w:bottom w:val="single" w:sz="4" w:space="0" w:color="000000"/>
            </w:tcBorders>
            <w:shd w:val="clear" w:color="auto" w:fill="E0E0E0"/>
          </w:tcPr>
          <w:p w:rsidR="003A63F8" w:rsidRDefault="008A23FE">
            <w:pPr>
              <w:pStyle w:val="Heading1"/>
              <w:keepLines w:val="0"/>
              <w:spacing w:before="0" w:after="0" w:line="240" w:lineRule="auto"/>
              <w:rPr>
                <w:b/>
                <w:sz w:val="24"/>
                <w:szCs w:val="24"/>
              </w:rPr>
            </w:pPr>
            <w:bookmarkStart w:id="1" w:name="_2g92qoude8tx" w:colFirst="0" w:colLast="0"/>
            <w:bookmarkEnd w:id="1"/>
            <w:r>
              <w:rPr>
                <w:b/>
                <w:sz w:val="24"/>
                <w:szCs w:val="24"/>
              </w:rPr>
              <w:t>Skills and abilities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E0E0E0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E0E0E0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Desirable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0E0E0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Assessed by</w:t>
            </w:r>
          </w:p>
        </w:tc>
      </w:tr>
      <w:tr w:rsidR="003A63F8">
        <w:tc>
          <w:tcPr>
            <w:tcW w:w="4680" w:type="dxa"/>
            <w:tcBorders>
              <w:bottom w:val="single" w:sz="4" w:space="0" w:color="000000"/>
            </w:tcBorders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</w:t>
            </w:r>
            <w:proofErr w:type="spellStart"/>
            <w:r>
              <w:rPr>
                <w:sz w:val="24"/>
                <w:szCs w:val="24"/>
              </w:rPr>
              <w:t>organise</w:t>
            </w:r>
            <w:proofErr w:type="spellEnd"/>
            <w:r>
              <w:rPr>
                <w:sz w:val="24"/>
                <w:szCs w:val="24"/>
              </w:rPr>
              <w:t xml:space="preserve"> one’s own work, to </w:t>
            </w:r>
            <w:proofErr w:type="spellStart"/>
            <w:r>
              <w:rPr>
                <w:sz w:val="24"/>
                <w:szCs w:val="24"/>
              </w:rPr>
              <w:t>prioritise</w:t>
            </w:r>
            <w:proofErr w:type="spellEnd"/>
            <w:r>
              <w:rPr>
                <w:sz w:val="24"/>
                <w:szCs w:val="24"/>
              </w:rPr>
              <w:t xml:space="preserve"> tasks and keep to deadlines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FFFFF"/>
          </w:tcPr>
          <w:p w:rsidR="003A63F8" w:rsidRDefault="003A63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&amp; interview</w:t>
            </w:r>
          </w:p>
        </w:tc>
      </w:tr>
      <w:tr w:rsidR="003A63F8">
        <w:tc>
          <w:tcPr>
            <w:tcW w:w="46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work independently and support the work of the team</w:t>
            </w:r>
          </w:p>
        </w:tc>
        <w:tc>
          <w:tcPr>
            <w:tcW w:w="1620" w:type="dxa"/>
            <w:shd w:val="clear" w:color="auto" w:fill="FFFFFF"/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&amp; interview</w:t>
            </w:r>
          </w:p>
        </w:tc>
      </w:tr>
      <w:tr w:rsidR="003A63F8">
        <w:tc>
          <w:tcPr>
            <w:tcW w:w="4680" w:type="dxa"/>
            <w:shd w:val="clear" w:color="auto" w:fill="FFFFFF"/>
          </w:tcPr>
          <w:p w:rsidR="003A63F8" w:rsidRDefault="008A23FE">
            <w:pPr>
              <w:tabs>
                <w:tab w:val="center" w:pos="4320"/>
                <w:tab w:val="right" w:pos="86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be flexible and respond effectively to the ‘unexpected’</w:t>
            </w:r>
          </w:p>
        </w:tc>
        <w:tc>
          <w:tcPr>
            <w:tcW w:w="1620" w:type="dxa"/>
            <w:shd w:val="clear" w:color="auto" w:fill="FFFFFF"/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&amp; interview</w:t>
            </w:r>
          </w:p>
        </w:tc>
      </w:tr>
      <w:tr w:rsidR="003A63F8">
        <w:tc>
          <w:tcPr>
            <w:tcW w:w="4680" w:type="dxa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communicate and interact effectively with adults and children and young people</w:t>
            </w:r>
          </w:p>
        </w:tc>
        <w:tc>
          <w:tcPr>
            <w:tcW w:w="1620" w:type="dxa"/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&amp; interview</w:t>
            </w:r>
          </w:p>
        </w:tc>
      </w:tr>
      <w:tr w:rsidR="003A63F8">
        <w:tc>
          <w:tcPr>
            <w:tcW w:w="4680" w:type="dxa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of sensitive information and the need for confidentiality</w:t>
            </w:r>
          </w:p>
        </w:tc>
        <w:tc>
          <w:tcPr>
            <w:tcW w:w="1620" w:type="dxa"/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3A63F8">
        <w:tc>
          <w:tcPr>
            <w:tcW w:w="4680" w:type="dxa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follow directions given by teachers</w:t>
            </w:r>
          </w:p>
        </w:tc>
        <w:tc>
          <w:tcPr>
            <w:tcW w:w="1620" w:type="dxa"/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3A63F8">
        <w:tc>
          <w:tcPr>
            <w:tcW w:w="4680" w:type="dxa"/>
            <w:tcBorders>
              <w:bottom w:val="single" w:sz="4" w:space="0" w:color="000000"/>
            </w:tcBorders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demonstrate respect for students and be able to listen to their views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3A63F8">
        <w:tc>
          <w:tcPr>
            <w:tcW w:w="4680" w:type="dxa"/>
            <w:tcBorders>
              <w:bottom w:val="single" w:sz="4" w:space="0" w:color="000000"/>
            </w:tcBorders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Displays commitment to the protection and safeguarding of children and young people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&amp; interview</w:t>
            </w:r>
          </w:p>
        </w:tc>
      </w:tr>
      <w:tr w:rsidR="003A63F8">
        <w:tc>
          <w:tcPr>
            <w:tcW w:w="4680" w:type="dxa"/>
            <w:tcBorders>
              <w:bottom w:val="single" w:sz="4" w:space="0" w:color="000000"/>
            </w:tcBorders>
            <w:shd w:val="clear" w:color="auto" w:fill="E0E0E0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E0E0E0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E0E0E0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E0E0E0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63F8">
        <w:tc>
          <w:tcPr>
            <w:tcW w:w="46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understanding of health, safety and security issues in schools</w:t>
            </w:r>
          </w:p>
        </w:tc>
        <w:tc>
          <w:tcPr>
            <w:tcW w:w="1620" w:type="dxa"/>
            <w:shd w:val="clear" w:color="auto" w:fill="FFFFFF"/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3A63F8">
        <w:tc>
          <w:tcPr>
            <w:tcW w:w="46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up-to-date knowledge of relevant legislation and guidance in relation to working with, and the protection of, children and young people </w:t>
            </w:r>
          </w:p>
        </w:tc>
        <w:tc>
          <w:tcPr>
            <w:tcW w:w="1620" w:type="dxa"/>
            <w:shd w:val="clear" w:color="auto" w:fill="FFFFFF"/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&amp; interview</w:t>
            </w:r>
          </w:p>
        </w:tc>
      </w:tr>
      <w:tr w:rsidR="003A63F8">
        <w:tc>
          <w:tcPr>
            <w:tcW w:w="4680" w:type="dxa"/>
            <w:shd w:val="clear" w:color="auto" w:fill="E0E0E0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Qualifications and experience</w:t>
            </w:r>
          </w:p>
        </w:tc>
        <w:tc>
          <w:tcPr>
            <w:tcW w:w="1620" w:type="dxa"/>
            <w:shd w:val="clear" w:color="auto" w:fill="E0E0E0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0E0E0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0E0E0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63F8">
        <w:tc>
          <w:tcPr>
            <w:tcW w:w="46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ICT certification to support word processing skills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9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&amp; interview</w:t>
            </w:r>
          </w:p>
        </w:tc>
      </w:tr>
      <w:tr w:rsidR="003A63F8">
        <w:tc>
          <w:tcPr>
            <w:tcW w:w="46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at level A – C in English and mathematics (or equivalent)</w:t>
            </w:r>
          </w:p>
        </w:tc>
        <w:tc>
          <w:tcPr>
            <w:tcW w:w="1620" w:type="dxa"/>
            <w:shd w:val="clear" w:color="auto" w:fill="FFFFFF"/>
          </w:tcPr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</w:t>
            </w:r>
          </w:p>
        </w:tc>
      </w:tr>
      <w:tr w:rsidR="003A63F8">
        <w:tc>
          <w:tcPr>
            <w:tcW w:w="46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First Aid qualification or the willingness to complete the training become qualified and keep the qualification up to date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and interview</w:t>
            </w:r>
          </w:p>
        </w:tc>
      </w:tr>
      <w:tr w:rsidR="003A63F8">
        <w:tc>
          <w:tcPr>
            <w:tcW w:w="46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 months experience, on a voluntary or paid basis, in an office or customer service environment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9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&amp; interview</w:t>
            </w:r>
          </w:p>
        </w:tc>
      </w:tr>
      <w:tr w:rsidR="003A63F8">
        <w:tc>
          <w:tcPr>
            <w:tcW w:w="4680" w:type="dxa"/>
            <w:shd w:val="clear" w:color="auto" w:fill="FFFFFF"/>
          </w:tcPr>
          <w:p w:rsidR="003A63F8" w:rsidRDefault="008A23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and motivation to develop own skills and work towards NVQ Level II in Organisation and Administration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63F8" w:rsidRDefault="008A23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</w:rPr>
              <w:t>✓</w:t>
            </w:r>
          </w:p>
        </w:tc>
        <w:tc>
          <w:tcPr>
            <w:tcW w:w="1620" w:type="dxa"/>
            <w:shd w:val="clear" w:color="auto" w:fill="FFFFFF"/>
          </w:tcPr>
          <w:p w:rsidR="003A63F8" w:rsidRDefault="003A63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3A63F8" w:rsidRDefault="003A63F8">
            <w:pPr>
              <w:spacing w:line="240" w:lineRule="auto"/>
              <w:rPr>
                <w:sz w:val="24"/>
                <w:szCs w:val="24"/>
              </w:rPr>
            </w:pPr>
          </w:p>
          <w:p w:rsidR="003A63F8" w:rsidRDefault="008A23FE">
            <w:pPr>
              <w:tabs>
                <w:tab w:val="center" w:pos="4320"/>
                <w:tab w:val="right" w:pos="86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&amp; interview</w:t>
            </w:r>
          </w:p>
        </w:tc>
      </w:tr>
    </w:tbl>
    <w:p w:rsidR="003A63F8" w:rsidRDefault="003A63F8">
      <w:pPr>
        <w:rPr>
          <w:b/>
        </w:rPr>
      </w:pPr>
    </w:p>
    <w:sectPr w:rsidR="003A63F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FE" w:rsidRDefault="008A23FE">
      <w:pPr>
        <w:spacing w:line="240" w:lineRule="auto"/>
      </w:pPr>
      <w:r>
        <w:separator/>
      </w:r>
    </w:p>
  </w:endnote>
  <w:endnote w:type="continuationSeparator" w:id="0">
    <w:p w:rsidR="008A23FE" w:rsidRDefault="008A2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FE" w:rsidRDefault="008A23FE">
      <w:pPr>
        <w:spacing w:line="240" w:lineRule="auto"/>
      </w:pPr>
      <w:r>
        <w:separator/>
      </w:r>
    </w:p>
  </w:footnote>
  <w:footnote w:type="continuationSeparator" w:id="0">
    <w:p w:rsidR="008A23FE" w:rsidRDefault="008A2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F8" w:rsidRDefault="008A23FE">
    <w:pPr>
      <w:jc w:val="center"/>
    </w:pPr>
    <w:r>
      <w:rPr>
        <w:noProof/>
        <w:sz w:val="40"/>
        <w:szCs w:val="40"/>
        <w:lang w:val="en-GB"/>
      </w:rPr>
      <w:drawing>
        <wp:inline distT="114300" distB="114300" distL="114300" distR="114300">
          <wp:extent cx="616500" cy="523694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500" cy="5236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40"/>
        <w:szCs w:val="40"/>
      </w:rPr>
      <w:t>The Aspire Learning Federation</w:t>
    </w:r>
    <w:r>
      <w:rPr>
        <w:noProof/>
        <w:sz w:val="40"/>
        <w:szCs w:val="40"/>
        <w:lang w:val="en-GB"/>
      </w:rPr>
      <w:drawing>
        <wp:inline distT="114300" distB="114300" distL="114300" distR="114300">
          <wp:extent cx="495524" cy="6286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524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5A3"/>
    <w:multiLevelType w:val="multilevel"/>
    <w:tmpl w:val="BF8AC7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EA024C7"/>
    <w:multiLevelType w:val="multilevel"/>
    <w:tmpl w:val="4FD879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B45D71"/>
    <w:multiLevelType w:val="multilevel"/>
    <w:tmpl w:val="E556CE6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F8"/>
    <w:rsid w:val="001C3AD5"/>
    <w:rsid w:val="003A63F8"/>
    <w:rsid w:val="00850129"/>
    <w:rsid w:val="008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4B6FB-FBF1-42AA-9616-B8E28F9E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Ashlea Stevenson</dc:creator>
  <cp:lastModifiedBy>Stacey Andrews</cp:lastModifiedBy>
  <cp:revision>2</cp:revision>
  <dcterms:created xsi:type="dcterms:W3CDTF">2024-08-19T13:40:00Z</dcterms:created>
  <dcterms:modified xsi:type="dcterms:W3CDTF">2024-08-19T13:40:00Z</dcterms:modified>
</cp:coreProperties>
</file>