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1047750</wp:posOffset>
            </wp:positionH>
            <wp:positionV relativeFrom="paragraph">
              <wp:posOffset>-342264</wp:posOffset>
            </wp:positionV>
            <wp:extent cx="4185920" cy="9810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85920" cy="981075"/>
                    </a:xfrm>
                    <a:prstGeom prst="rect"/>
                    <a:ln/>
                  </pic:spPr>
                </pic:pic>
              </a:graphicData>
            </a:graphic>
          </wp:anchor>
        </w:drawing>
      </w:r>
    </w:p>
    <w:p w:rsidR="00000000" w:rsidDel="00000000" w:rsidP="00000000" w:rsidRDefault="00000000" w:rsidRPr="00000000" w14:paraId="00000002">
      <w:pPr>
        <w:pStyle w:val="Heading1"/>
        <w:rPr>
          <w:b w:val="0"/>
          <w:sz w:val="28"/>
          <w:szCs w:val="28"/>
        </w:rPr>
      </w:pPr>
      <w:r w:rsidDel="00000000" w:rsidR="00000000" w:rsidRPr="00000000">
        <w:rPr>
          <w:b w:val="0"/>
          <w:sz w:val="28"/>
          <w:szCs w:val="28"/>
          <w:rtl w:val="0"/>
        </w:rPr>
        <w:tab/>
        <w:tab/>
        <w:tab/>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sz w:val="24"/>
          <w:szCs w:val="24"/>
        </w:rPr>
      </w:pPr>
      <w:r w:rsidDel="00000000" w:rsidR="00000000" w:rsidRPr="00000000">
        <w:rPr>
          <w:rtl w:val="0"/>
        </w:rPr>
      </w:r>
    </w:p>
    <w:p w:rsidR="00000000" w:rsidDel="00000000" w:rsidP="00000000" w:rsidRDefault="00000000" w:rsidRPr="00000000" w14:paraId="00000005">
      <w:pPr>
        <w:pStyle w:val="Heading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LONDON BOROUGH OF NEWHAM</w:t>
        <w:tab/>
        <w:tab/>
        <w:tab/>
        <w:tab/>
        <w:t xml:space="preserve">JOB SPECIFICATION</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Title of Job:</w:t>
      </w:r>
      <w:r w:rsidDel="00000000" w:rsidR="00000000" w:rsidRPr="00000000">
        <w:rPr>
          <w:rFonts w:ascii="Calibri" w:cs="Calibri" w:eastAsia="Calibri" w:hAnsi="Calibri"/>
          <w:rtl w:val="0"/>
        </w:rPr>
        <w:tab/>
        <w:t xml:space="preserve"> (TA)  Send Focus</w:t>
        <w:tab/>
        <w:tab/>
        <w:tab/>
        <w:tab/>
        <w:tab/>
      </w:r>
      <w:r w:rsidDel="00000000" w:rsidR="00000000" w:rsidRPr="00000000">
        <w:rPr>
          <w:rFonts w:ascii="Calibri" w:cs="Calibri" w:eastAsia="Calibri" w:hAnsi="Calibri"/>
          <w:b w:val="1"/>
          <w:rtl w:val="0"/>
        </w:rPr>
        <w:t xml:space="preserve">Section:</w:t>
      </w:r>
      <w:r w:rsidDel="00000000" w:rsidR="00000000" w:rsidRPr="00000000">
        <w:rPr>
          <w:rFonts w:ascii="Calibri" w:cs="Calibri" w:eastAsia="Calibri" w:hAnsi="Calibri"/>
          <w:rtl w:val="0"/>
        </w:rPr>
        <w:t xml:space="preserve">   Schools</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ab/>
        <w:t xml:space="preserve">-Full time 32.5 hours  Per week </w:t>
        <w:tab/>
        <w:tab/>
        <w:tab/>
        <w:tab/>
      </w:r>
      <w:r w:rsidDel="00000000" w:rsidR="00000000" w:rsidRPr="00000000">
        <w:rPr>
          <w:rFonts w:ascii="Calibri" w:cs="Calibri" w:eastAsia="Calibri" w:hAnsi="Calibri"/>
          <w:b w:val="1"/>
          <w:rtl w:val="0"/>
        </w:rPr>
        <w:t xml:space="preserve">Qualified:</w:t>
      </w:r>
      <w:r w:rsidDel="00000000" w:rsidR="00000000" w:rsidRPr="00000000">
        <w:rPr>
          <w:rFonts w:ascii="Calibri" w:cs="Calibri" w:eastAsia="Calibri" w:hAnsi="Calibri"/>
          <w:rtl w:val="0"/>
        </w:rPr>
        <w:t xml:space="preserve"> Scale 3</w:t>
        <w:tab/>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Last Revised:</w:t>
      </w:r>
      <w:r w:rsidDel="00000000" w:rsidR="00000000" w:rsidRPr="00000000">
        <w:rPr>
          <w:rFonts w:ascii="Calibri" w:cs="Calibri" w:eastAsia="Calibri" w:hAnsi="Calibri"/>
          <w:rtl w:val="0"/>
        </w:rPr>
        <w:tab/>
        <w:t xml:space="preserve">September 2022</w:t>
        <w:tab/>
        <w:tab/>
        <w:tab/>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b w:val="1"/>
          <w:rtl w:val="0"/>
        </w:rPr>
        <w:t xml:space="preserve">JOB DESCRIPTION</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2880" w:hanging="2880"/>
        <w:jc w:val="both"/>
        <w:rPr>
          <w:rFonts w:ascii="Calibri" w:cs="Calibri" w:eastAsia="Calibri" w:hAnsi="Calibri"/>
        </w:rPr>
      </w:pPr>
      <w:r w:rsidDel="00000000" w:rsidR="00000000" w:rsidRPr="00000000">
        <w:rPr>
          <w:rFonts w:ascii="Calibri" w:cs="Calibri" w:eastAsia="Calibri" w:hAnsi="Calibri"/>
          <w:b w:val="1"/>
          <w:rtl w:val="0"/>
        </w:rPr>
        <w:t xml:space="preserve">PERSON REPORTS TO:       </w:t>
        <w:tab/>
      </w:r>
      <w:r w:rsidDel="00000000" w:rsidR="00000000" w:rsidRPr="00000000">
        <w:rPr>
          <w:rFonts w:ascii="Calibri" w:cs="Calibri" w:eastAsia="Calibri" w:hAnsi="Calibri"/>
          <w:rtl w:val="0"/>
        </w:rPr>
        <w:t xml:space="preserve">Member of school management or Senior Teaching Assistant, with work directed by class teachers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STAFF SUPERVISED:</w:t>
      </w:r>
      <w:r w:rsidDel="00000000" w:rsidR="00000000" w:rsidRPr="00000000">
        <w:rPr>
          <w:rFonts w:ascii="Calibri" w:cs="Calibri" w:eastAsia="Calibri" w:hAnsi="Calibri"/>
          <w:rtl w:val="0"/>
        </w:rPr>
        <w:tab/>
        <w:tab/>
        <w:t xml:space="preserve">None</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4">
      <w:pPr>
        <w:ind w:left="2160" w:hanging="2160"/>
        <w:jc w:val="both"/>
        <w:rPr>
          <w:rFonts w:ascii="Calibri" w:cs="Calibri" w:eastAsia="Calibri" w:hAnsi="Calibri"/>
        </w:rPr>
      </w:pPr>
      <w:r w:rsidDel="00000000" w:rsidR="00000000" w:rsidRPr="00000000">
        <w:rPr>
          <w:rFonts w:ascii="Calibri" w:cs="Calibri" w:eastAsia="Calibri" w:hAnsi="Calibri"/>
          <w:b w:val="1"/>
          <w:rtl w:val="0"/>
        </w:rPr>
        <w:t xml:space="preserve">PURPOSE OF JOB:   </w:t>
      </w:r>
      <w:r w:rsidDel="00000000" w:rsidR="00000000" w:rsidRPr="00000000">
        <w:rPr>
          <w:rFonts w:ascii="Calibri" w:cs="Calibri" w:eastAsia="Calibri" w:hAnsi="Calibri"/>
          <w:rtl w:val="0"/>
        </w:rPr>
        <w:t xml:space="preserve">To support the education and welfare of pupils as directed by class teachers, SENDCO or Resource Provision Leader having due regard to the school’s aims, objectives, schemes of work and policies, and relevant national requirements. To share in the corporate responsibility for the well being and discipline of all pupils.</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b w:val="1"/>
          <w:rtl w:val="0"/>
        </w:rPr>
        <w:t xml:space="preserve">EQUAL OPPORTUNITIES:</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model and promote the school vision, values and purpose.</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every opportunity to develop pupils’ language, reading, numeracy and related skills as directed by class teachers, SENDCO or Resource Provision Leader.</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in monitoring and recording the progress of individual pupils in accordance with school procedures, and reporting to class teachers, SENDCO or Resource Provision Leader.</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give oral and written feedback in relation to pupil attainment and progress in order to promote further progress.</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teachers, SENDCO or Resource Provision Leader to identify and respond appropriately to pupils’ individual needs, assisting pupils in areas of specific difficulty.</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the teacher, SENDCO or Resource Provision Leader in setting appropriate learning and behaviour expectations of pupils and supporting pupils appropriately to achieve these.</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promote and reinforce pupils’ self-esteem, encouraging inclusion of pupils with special educational needs.</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create and maintain a purposeful, orderly and supportive environment for pupils’ learning, ensuring that pupils are able to use equipment and materials provided.</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presence of the teacher, SENDCO or Resource Provision Leader, present agreed learning tasks in a clear and stimulating manner to help maintain pupils’ interest and motivation; to work with pupils individually and collectively by contributing to decisions about the most appropriate learning goals and strategies.</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Outside the classroom, to work with individuals and or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information that supports the preparation and review of Individual Education Plans and to action appropriate tasks from IEPs.</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use a range of supporting techniques, including computers and other resources, and consider in consultation with the teacher when and how to deploy them.</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direction of appropriate professionals and after adequate training, to assist in meeting a particular pupil’s needs e.g. physical development, speech/language development, and medical needs identified in an approved care plan agreed by parents.  The scope of these duties are that which would generally be carried out by a parent.  This excludes the medical procedures spelt out in point 22.</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produce and maintain classroom resources, displays and classroom layout in consultation with the teacher.</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support pupils in the individual and collaborative study skills necessary for learning.</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alongside other adults, including teachers, trainee teachers, SENDCO or Resource Provision Leader and other support staff.</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supervise pupils during breaks and/or lunchtimes if required.</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confidentiality at all times with regard to both supported pupils and the wider school.</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part in in-service training, relevant performance management arrangements and other meetings, as directed in normal contracted working hours; to be conversant with school policies and procedures.</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Carry out routine clerical tasks e.g. collecting trip money, distributing letters and producing class lists.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appropriate duties relevant to the purpose of the post and within the grading and competency of the post holder, as reasonably required by the teacher/head teacher.</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 To undertake the SEND tasks of tube feeding, urinary catheterisation, suction and postural drainage, nebulised medication, rectal medication and replacement of tracheostomy tubes based on pupil need.</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b w:val="1"/>
          <w:rtl w:val="0"/>
        </w:rPr>
        <w:t xml:space="preserve">Person Specification for the post of Teaching Assistant</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These are the criteria upon which the selection process will be based.  At each stage of the process the merits of each applicant will be assessed to determine how far the criteria have been matched. These stages are:-</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2"/>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Shortlisting by the selection panel</w:t>
      </w:r>
    </w:p>
    <w:p w:rsidR="00000000" w:rsidDel="00000000" w:rsidP="00000000" w:rsidRDefault="00000000" w:rsidRPr="00000000" w14:paraId="00000051">
      <w:pPr>
        <w:numPr>
          <w:ilvl w:val="0"/>
          <w:numId w:val="2"/>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Interview by selection panel</w:t>
      </w:r>
    </w:p>
    <w:p w:rsidR="00000000" w:rsidDel="00000000" w:rsidP="00000000" w:rsidRDefault="00000000" w:rsidRPr="00000000" w14:paraId="00000052">
      <w:pPr>
        <w:ind w:left="720" w:firstLine="0"/>
        <w:jc w:val="both"/>
        <w:rPr>
          <w:rFonts w:ascii="Calibri" w:cs="Calibri" w:eastAsia="Calibri" w:hAnsi="Calibri"/>
        </w:rPr>
      </w:pPr>
      <w:r w:rsidDel="00000000" w:rsidR="00000000" w:rsidRPr="00000000">
        <w:rPr>
          <w:rtl w:val="0"/>
        </w:rPr>
      </w:r>
    </w:p>
    <w:tbl>
      <w:tblPr>
        <w:tblStyle w:val="Table1"/>
        <w:tblW w:w="8865.0" w:type="dxa"/>
        <w:jc w:val="left"/>
        <w:tblInd w:w="-108.0" w:type="dxa"/>
        <w:tblLayout w:type="fixed"/>
        <w:tblLook w:val="0000"/>
      </w:tblPr>
      <w:tblGrid>
        <w:gridCol w:w="660"/>
        <w:gridCol w:w="3840"/>
        <w:gridCol w:w="4365"/>
        <w:tblGridChange w:id="0">
          <w:tblGrid>
            <w:gridCol w:w="660"/>
            <w:gridCol w:w="3840"/>
            <w:gridCol w:w="4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Factor</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Requirement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Education, Training and Qualification:</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Competent English and Mathematics skills assessed through a standard test.</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recruiting to a qualified post: C &amp; G or CLPE or other equivalent qualification.</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Experience: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Experience of working in a primary school or with children including parental experience.</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Able to demonstrate experience of dealing sympathetically and constructively with other adults.</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right="-227.71653543307025"/>
              <w:jc w:val="both"/>
              <w:rPr>
                <w:rFonts w:ascii="Calibri" w:cs="Calibri" w:eastAsia="Calibri" w:hAnsi="Calibri"/>
              </w:rPr>
            </w:pPr>
            <w:r w:rsidDel="00000000" w:rsidR="00000000" w:rsidRPr="00000000">
              <w:rPr>
                <w:rFonts w:ascii="Calibri" w:cs="Calibri" w:eastAsia="Calibri" w:hAnsi="Calibri"/>
                <w:rtl w:val="0"/>
              </w:rPr>
              <w:t xml:space="preserve">Knowledge and Understanding: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place of the school in educating primary pupils and in promoting the spiritual, moral, social and cultural development of pupils from a multicultural community.</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role of the teacher and their own role in relation to teachers, other support staff, and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Point 4, 5 and 6 under Knowledge and Understanding are only required if recruiting to a qualified position</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knowledge and basic understanding of literacy and Numeracy. GCSE Maths, English Language and Sc</w:t>
            </w:r>
            <w:r w:rsidDel="00000000" w:rsidR="00000000" w:rsidRPr="00000000">
              <w:rPr>
                <w:rFonts w:ascii="Calibri" w:cs="Calibri" w:eastAsia="Calibri" w:hAnsi="Calibri"/>
                <w:rtl w:val="0"/>
              </w:rPr>
              <w:t xml:space="preserve">ience are required for further teacher training consideration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ability to use knowledge and understanding to support pupils and to assess their progress in literacy and numeracy in particular.</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awareness of how pupils learn and the factors that affect their progress.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different approaches needed to support the learning of various groups of pupils, including bilingual English learners and pupils with special educational needs.</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Commitment to and understanding 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Equal Opportunities</w:t>
            </w:r>
            <w:r w:rsidDel="00000000" w:rsidR="00000000" w:rsidRPr="00000000">
              <w:rPr>
                <w:rFonts w:ascii="Calibri" w:cs="Calibri" w:eastAsia="Calibri" w:hAnsi="Calibri"/>
                <w:rtl w:val="0"/>
              </w:rPr>
              <w:t xml:space="preserve"> practise</w:t>
            </w:r>
            <w:r w:rsidDel="00000000" w:rsidR="00000000" w:rsidRPr="00000000">
              <w:rPr>
                <w:rFonts w:ascii="Calibri" w:cs="Calibri" w:eastAsia="Calibri" w:hAnsi="Calibri"/>
                <w:color w:val="000000"/>
                <w:rtl w:val="0"/>
              </w:rPr>
              <w:t xml:space="preserve"> throughout the school including the Authority’s policy of inclusive education.</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promotion of community involvement in the school in order to raise achievement.</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8">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240" w:before="240" w:lineRule="auto"/>
        <w:jc w:val="both"/>
        <w:rPr>
          <w:rFonts w:ascii="Calibri" w:cs="Calibri" w:eastAsia="Calibri" w:hAnsi="Calibri"/>
        </w:rPr>
      </w:pPr>
      <w:bookmarkStart w:colFirst="0" w:colLast="0" w:name="_lwbpxigxg9n3" w:id="0"/>
      <w:bookmarkEnd w:id="0"/>
      <w:r w:rsidDel="00000000" w:rsidR="00000000" w:rsidRPr="00000000">
        <w:rPr>
          <w:rtl w:val="0"/>
        </w:rPr>
      </w:r>
    </w:p>
    <w:p w:rsidR="00000000" w:rsidDel="00000000" w:rsidP="00000000" w:rsidRDefault="00000000" w:rsidRPr="00000000" w14:paraId="0000008A">
      <w:pPr>
        <w:ind w:left="0" w:firstLine="0"/>
        <w:jc w:val="both"/>
        <w:rPr>
          <w:rFonts w:ascii="Calibri" w:cs="Calibri" w:eastAsia="Calibri" w:hAnsi="Calibri"/>
        </w:rPr>
      </w:pPr>
      <w:bookmarkStart w:colFirst="0" w:colLast="0" w:name="_55owugikfdoj" w:id="1"/>
      <w:bookmarkEnd w:id="1"/>
      <w:r w:rsidDel="00000000" w:rsidR="00000000" w:rsidRPr="00000000">
        <w:rPr>
          <w:rtl w:val="0"/>
        </w:rPr>
      </w:r>
    </w:p>
    <w:sectPr>
      <w:pgSz w:h="16837" w:w="11905" w:orient="portrait"/>
      <w:pgMar w:bottom="720" w:top="108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2"/>
      <w:szCs w:val="2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both"/>
    </w:pPr>
    <w:rPr>
      <w:b w:val="1"/>
    </w:rPr>
  </w:style>
  <w:style w:type="paragraph" w:styleId="Heading4">
    <w:name w:val="heading 4"/>
    <w:basedOn w:val="Normal"/>
    <w:next w:val="Normal"/>
    <w:pPr>
      <w:keepNext w:val="1"/>
    </w:pPr>
    <w:rPr>
      <w:b w:val="1"/>
      <w:u w:val="single"/>
    </w:rPr>
  </w:style>
  <w:style w:type="paragraph" w:styleId="Heading5">
    <w:name w:val="heading 5"/>
    <w:basedOn w:val="Normal"/>
    <w:next w:val="Normal"/>
    <w:pPr>
      <w:keepNext w:val="1"/>
      <w:widowControl w:val="1"/>
    </w:pPr>
    <w:rPr>
      <w:b w:val="1"/>
      <w:sz w:val="20"/>
      <w:szCs w:val="20"/>
    </w:rPr>
  </w:style>
  <w:style w:type="paragraph" w:styleId="Heading6">
    <w:name w:val="heading 6"/>
    <w:basedOn w:val="Normal"/>
    <w:next w:val="Normal"/>
    <w:pPr>
      <w:keepNext w:val="1"/>
      <w:ind w:left="720"/>
    </w:pPr>
    <w:rPr>
      <w:b w:val="1"/>
      <w:sz w:val="28"/>
      <w:szCs w:val="28"/>
      <w:u w:val="single"/>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