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EA59D" w14:textId="77777777" w:rsidR="00484444" w:rsidRPr="00484444" w:rsidRDefault="00484444" w:rsidP="008605FE">
      <w:pPr>
        <w:tabs>
          <w:tab w:val="center" w:pos="4513"/>
        </w:tabs>
        <w:suppressAutoHyphens/>
        <w:spacing w:after="0" w:line="240" w:lineRule="auto"/>
        <w:jc w:val="center"/>
        <w:rPr>
          <w:rFonts w:ascii="Arial" w:eastAsia="Times New Roman" w:hAnsi="Arial" w:cs="Times New Roman"/>
          <w:b/>
          <w:spacing w:val="-3"/>
          <w:sz w:val="32"/>
          <w:szCs w:val="32"/>
        </w:rPr>
      </w:pPr>
      <w:r w:rsidRPr="00484444">
        <w:rPr>
          <w:rFonts w:ascii="Arial" w:eastAsia="Times New Roman" w:hAnsi="Arial" w:cs="Times New Roman"/>
          <w:b/>
          <w:spacing w:val="-3"/>
          <w:sz w:val="32"/>
          <w:szCs w:val="32"/>
        </w:rPr>
        <w:t>JOB DESCRIPTION</w:t>
      </w:r>
    </w:p>
    <w:p w14:paraId="7C84582A" w14:textId="77777777" w:rsidR="00484444" w:rsidRPr="00484444" w:rsidRDefault="00484444" w:rsidP="008605FE">
      <w:pPr>
        <w:tabs>
          <w:tab w:val="left" w:pos="-720"/>
          <w:tab w:val="left" w:pos="0"/>
          <w:tab w:val="left" w:pos="720"/>
          <w:tab w:val="left" w:pos="1440"/>
          <w:tab w:val="left" w:pos="2160"/>
          <w:tab w:val="left" w:pos="2880"/>
          <w:tab w:val="left" w:pos="3600"/>
          <w:tab w:val="left" w:pos="4320"/>
          <w:tab w:val="left" w:pos="5040"/>
          <w:tab w:val="left" w:pos="5760"/>
          <w:tab w:val="left" w:pos="6660"/>
        </w:tabs>
        <w:suppressAutoHyphens/>
        <w:spacing w:after="0" w:line="240" w:lineRule="auto"/>
        <w:ind w:left="6660" w:hanging="6660"/>
        <w:rPr>
          <w:rFonts w:ascii="Arial" w:eastAsia="Times New Roman" w:hAnsi="Arial" w:cs="Times New Roman"/>
          <w:b/>
          <w:spacing w:val="-2"/>
          <w:sz w:val="24"/>
          <w:szCs w:val="20"/>
        </w:rPr>
      </w:pPr>
    </w:p>
    <w:tbl>
      <w:tblPr>
        <w:tblW w:w="96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3124"/>
        <w:gridCol w:w="6482"/>
      </w:tblGrid>
      <w:tr w:rsidR="00484444" w:rsidRPr="007B44B4" w14:paraId="3569E5D3" w14:textId="77777777" w:rsidTr="001C557F">
        <w:tc>
          <w:tcPr>
            <w:tcW w:w="3124" w:type="dxa"/>
          </w:tcPr>
          <w:p w14:paraId="7C37452E" w14:textId="77777777" w:rsidR="00484444" w:rsidRPr="007B44B4" w:rsidRDefault="00484444" w:rsidP="008605FE">
            <w:pPr>
              <w:spacing w:before="120" w:after="120" w:line="240" w:lineRule="auto"/>
              <w:rPr>
                <w:rFonts w:ascii="Arial" w:eastAsia="Times New Roman" w:hAnsi="Arial" w:cs="Times New Roman"/>
                <w:b/>
              </w:rPr>
            </w:pPr>
            <w:r w:rsidRPr="007B44B4">
              <w:rPr>
                <w:rFonts w:ascii="Arial" w:eastAsia="Times New Roman" w:hAnsi="Arial" w:cs="Times New Roman"/>
                <w:b/>
              </w:rPr>
              <w:t>POST TITLE:</w:t>
            </w:r>
          </w:p>
        </w:tc>
        <w:tc>
          <w:tcPr>
            <w:tcW w:w="6482" w:type="dxa"/>
          </w:tcPr>
          <w:p w14:paraId="6F65F4B6" w14:textId="2C1EEE7B" w:rsidR="00484444" w:rsidRPr="007B44B4" w:rsidRDefault="006776C4" w:rsidP="008605FE">
            <w:pPr>
              <w:spacing w:before="120" w:after="120" w:line="240" w:lineRule="auto"/>
              <w:rPr>
                <w:rFonts w:ascii="Arial" w:eastAsia="Times New Roman" w:hAnsi="Arial" w:cs="Times New Roman"/>
              </w:rPr>
            </w:pPr>
            <w:r w:rsidRPr="007B44B4">
              <w:rPr>
                <w:rFonts w:ascii="Arial" w:eastAsia="Times New Roman" w:hAnsi="Arial" w:cs="Times New Roman"/>
                <w:color w:val="000000" w:themeColor="text1"/>
              </w:rPr>
              <w:t>Public Health Officer</w:t>
            </w:r>
          </w:p>
        </w:tc>
      </w:tr>
      <w:tr w:rsidR="00065D82" w:rsidRPr="007B44B4" w14:paraId="42487CED" w14:textId="77777777" w:rsidTr="001C557F">
        <w:tc>
          <w:tcPr>
            <w:tcW w:w="3124" w:type="dxa"/>
          </w:tcPr>
          <w:p w14:paraId="3AA2A54C" w14:textId="77777777" w:rsidR="00065D82" w:rsidRPr="007B44B4" w:rsidRDefault="00065D82" w:rsidP="008605FE">
            <w:pPr>
              <w:spacing w:before="120" w:after="120" w:line="240" w:lineRule="auto"/>
              <w:rPr>
                <w:rFonts w:ascii="Arial" w:eastAsia="Times New Roman" w:hAnsi="Arial" w:cs="Times New Roman"/>
                <w:b/>
                <w:spacing w:val="-2"/>
              </w:rPr>
            </w:pPr>
            <w:r w:rsidRPr="007B44B4">
              <w:rPr>
                <w:rFonts w:ascii="Arial" w:eastAsia="Times New Roman" w:hAnsi="Arial" w:cs="Times New Roman"/>
                <w:b/>
                <w:spacing w:val="-2"/>
              </w:rPr>
              <w:t>GRADE</w:t>
            </w:r>
          </w:p>
        </w:tc>
        <w:tc>
          <w:tcPr>
            <w:tcW w:w="6482" w:type="dxa"/>
          </w:tcPr>
          <w:p w14:paraId="0CAC1FB1" w14:textId="4DC147CF" w:rsidR="00065D82" w:rsidRPr="007B44B4" w:rsidRDefault="006776C4" w:rsidP="00AE1534">
            <w:pPr>
              <w:spacing w:before="120" w:after="120" w:line="240" w:lineRule="auto"/>
              <w:rPr>
                <w:rFonts w:ascii="Arial" w:eastAsia="Times New Roman" w:hAnsi="Arial" w:cs="Times New Roman"/>
              </w:rPr>
            </w:pPr>
            <w:r w:rsidRPr="007B44B4">
              <w:rPr>
                <w:rFonts w:ascii="Arial" w:eastAsia="Times New Roman" w:hAnsi="Arial" w:cs="Times New Roman"/>
                <w:color w:val="000000" w:themeColor="text1"/>
              </w:rPr>
              <w:t>11</w:t>
            </w:r>
          </w:p>
        </w:tc>
      </w:tr>
      <w:tr w:rsidR="000F4DCC" w:rsidRPr="007B44B4" w14:paraId="75B0C3F7" w14:textId="77777777" w:rsidTr="001C557F">
        <w:tc>
          <w:tcPr>
            <w:tcW w:w="3124" w:type="dxa"/>
          </w:tcPr>
          <w:p w14:paraId="71ED6FB4" w14:textId="77777777" w:rsidR="000F4DCC" w:rsidRPr="007B44B4" w:rsidRDefault="000F4DCC" w:rsidP="008605FE">
            <w:pPr>
              <w:spacing w:before="120" w:after="120" w:line="240" w:lineRule="auto"/>
              <w:rPr>
                <w:rFonts w:ascii="Arial" w:eastAsia="Times New Roman" w:hAnsi="Arial" w:cs="Times New Roman"/>
                <w:b/>
              </w:rPr>
            </w:pPr>
            <w:r w:rsidRPr="007B44B4">
              <w:rPr>
                <w:rFonts w:ascii="Arial" w:eastAsia="Times New Roman" w:hAnsi="Arial" w:cs="Times New Roman"/>
                <w:b/>
              </w:rPr>
              <w:t>DIVISION / UNIT</w:t>
            </w:r>
          </w:p>
        </w:tc>
        <w:tc>
          <w:tcPr>
            <w:tcW w:w="6482" w:type="dxa"/>
          </w:tcPr>
          <w:p w14:paraId="3CE343E7" w14:textId="40E0EA9C" w:rsidR="000F4DCC" w:rsidRPr="007B44B4" w:rsidRDefault="006776C4" w:rsidP="00AE1534">
            <w:pPr>
              <w:spacing w:before="120" w:after="120" w:line="240" w:lineRule="auto"/>
              <w:rPr>
                <w:rFonts w:ascii="Arial" w:eastAsia="Times New Roman" w:hAnsi="Arial" w:cs="Times New Roman"/>
              </w:rPr>
            </w:pPr>
            <w:r w:rsidRPr="007B44B4">
              <w:rPr>
                <w:rFonts w:ascii="Arial" w:eastAsia="Times New Roman" w:hAnsi="Arial" w:cs="Times New Roman"/>
                <w:color w:val="000000" w:themeColor="text1"/>
              </w:rPr>
              <w:t>Public Health Division</w:t>
            </w:r>
            <w:r w:rsidR="00150DB7">
              <w:rPr>
                <w:rFonts w:ascii="Arial" w:eastAsia="Times New Roman" w:hAnsi="Arial" w:cs="Times New Roman"/>
                <w:color w:val="000000" w:themeColor="text1"/>
              </w:rPr>
              <w:t>, Healthy Adults</w:t>
            </w:r>
          </w:p>
        </w:tc>
      </w:tr>
      <w:tr w:rsidR="000F4DCC" w:rsidRPr="007B44B4" w14:paraId="6B2777EE" w14:textId="77777777" w:rsidTr="001C557F">
        <w:tc>
          <w:tcPr>
            <w:tcW w:w="3124" w:type="dxa"/>
          </w:tcPr>
          <w:p w14:paraId="195ACCC6" w14:textId="77777777" w:rsidR="000F4DCC" w:rsidRPr="007B44B4" w:rsidRDefault="000F4DCC" w:rsidP="008605FE">
            <w:pPr>
              <w:spacing w:before="120" w:after="120" w:line="240" w:lineRule="auto"/>
              <w:rPr>
                <w:rFonts w:ascii="Arial" w:eastAsia="Times New Roman" w:hAnsi="Arial" w:cs="Times New Roman"/>
                <w:b/>
              </w:rPr>
            </w:pPr>
            <w:r w:rsidRPr="007B44B4">
              <w:rPr>
                <w:rFonts w:ascii="Arial" w:eastAsia="Times New Roman" w:hAnsi="Arial" w:cs="Times New Roman"/>
                <w:b/>
              </w:rPr>
              <w:t>DEPARTMENT</w:t>
            </w:r>
          </w:p>
        </w:tc>
        <w:tc>
          <w:tcPr>
            <w:tcW w:w="6482" w:type="dxa"/>
          </w:tcPr>
          <w:p w14:paraId="4B6E8D17" w14:textId="3BB91AC9" w:rsidR="000F4DCC" w:rsidRPr="007B44B4" w:rsidRDefault="006776C4" w:rsidP="00150DB7">
            <w:pPr>
              <w:spacing w:before="120" w:after="120" w:line="240" w:lineRule="auto"/>
              <w:rPr>
                <w:rFonts w:ascii="Arial" w:eastAsia="Times New Roman" w:hAnsi="Arial" w:cs="Times New Roman"/>
              </w:rPr>
            </w:pPr>
            <w:r w:rsidRPr="007B44B4">
              <w:rPr>
                <w:rFonts w:ascii="Arial" w:eastAsia="Times New Roman" w:hAnsi="Arial" w:cs="Times New Roman"/>
                <w:color w:val="000000" w:themeColor="text1"/>
              </w:rPr>
              <w:t>Children</w:t>
            </w:r>
            <w:r w:rsidR="00150DB7">
              <w:rPr>
                <w:rFonts w:ascii="Arial" w:eastAsia="Times New Roman" w:hAnsi="Arial" w:cs="Times New Roman"/>
                <w:color w:val="000000" w:themeColor="text1"/>
              </w:rPr>
              <w:t>’s and</w:t>
            </w:r>
            <w:r w:rsidRPr="007B44B4">
              <w:rPr>
                <w:rFonts w:ascii="Arial" w:eastAsia="Times New Roman" w:hAnsi="Arial" w:cs="Times New Roman"/>
                <w:color w:val="000000" w:themeColor="text1"/>
              </w:rPr>
              <w:t xml:space="preserve"> Adults</w:t>
            </w:r>
            <w:r w:rsidR="00150DB7">
              <w:rPr>
                <w:rFonts w:ascii="Arial" w:eastAsia="Times New Roman" w:hAnsi="Arial" w:cs="Times New Roman"/>
                <w:color w:val="000000" w:themeColor="text1"/>
              </w:rPr>
              <w:t>’</w:t>
            </w:r>
            <w:r w:rsidRPr="007B44B4">
              <w:rPr>
                <w:rFonts w:ascii="Arial" w:eastAsia="Times New Roman" w:hAnsi="Arial" w:cs="Times New Roman"/>
                <w:color w:val="000000" w:themeColor="text1"/>
              </w:rPr>
              <w:t xml:space="preserve"> Services</w:t>
            </w:r>
          </w:p>
        </w:tc>
      </w:tr>
      <w:tr w:rsidR="000F4DCC" w:rsidRPr="007B44B4" w14:paraId="2677518F" w14:textId="77777777" w:rsidTr="001C557F">
        <w:tc>
          <w:tcPr>
            <w:tcW w:w="3124" w:type="dxa"/>
          </w:tcPr>
          <w:p w14:paraId="6430D7BA" w14:textId="77777777" w:rsidR="000F4DCC" w:rsidRPr="007B44B4" w:rsidRDefault="000F4DCC" w:rsidP="008605FE">
            <w:pPr>
              <w:spacing w:before="120" w:after="120" w:line="240" w:lineRule="auto"/>
              <w:rPr>
                <w:rFonts w:ascii="Arial" w:eastAsia="Times New Roman" w:hAnsi="Arial" w:cs="Times New Roman"/>
                <w:b/>
              </w:rPr>
            </w:pPr>
            <w:r w:rsidRPr="007B44B4">
              <w:rPr>
                <w:rFonts w:ascii="Arial" w:eastAsia="Times New Roman" w:hAnsi="Arial" w:cs="Times New Roman"/>
                <w:b/>
              </w:rPr>
              <w:t>REPORTS TO:</w:t>
            </w:r>
          </w:p>
        </w:tc>
        <w:tc>
          <w:tcPr>
            <w:tcW w:w="6482" w:type="dxa"/>
          </w:tcPr>
          <w:p w14:paraId="40D0D48F" w14:textId="66A98B23" w:rsidR="000F4DCC" w:rsidRPr="007B44B4" w:rsidRDefault="006776C4" w:rsidP="008605FE">
            <w:pPr>
              <w:spacing w:before="120" w:after="120" w:line="240" w:lineRule="auto"/>
              <w:rPr>
                <w:rFonts w:ascii="Arial" w:eastAsia="Times New Roman" w:hAnsi="Arial" w:cs="Times New Roman"/>
              </w:rPr>
            </w:pPr>
            <w:r w:rsidRPr="007B44B4">
              <w:rPr>
                <w:rFonts w:ascii="Arial" w:eastAsia="Times New Roman" w:hAnsi="Arial" w:cs="Times New Roman"/>
                <w:color w:val="000000" w:themeColor="text1"/>
              </w:rPr>
              <w:t>Head of Programme</w:t>
            </w:r>
          </w:p>
        </w:tc>
      </w:tr>
    </w:tbl>
    <w:p w14:paraId="4A80AC19" w14:textId="77777777" w:rsidR="00484444" w:rsidRPr="00484444" w:rsidRDefault="00484444" w:rsidP="008605FE">
      <w:pPr>
        <w:spacing w:after="0" w:line="240" w:lineRule="auto"/>
        <w:rPr>
          <w:rFonts w:ascii="Arial" w:eastAsia="Times New Roman" w:hAnsi="Arial" w:cs="Arial"/>
          <w:b/>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606"/>
      </w:tblGrid>
      <w:tr w:rsidR="00484444" w:rsidRPr="00484444" w14:paraId="3729A629" w14:textId="77777777" w:rsidTr="009E4140">
        <w:tc>
          <w:tcPr>
            <w:tcW w:w="9606" w:type="dxa"/>
            <w:shd w:val="clear" w:color="auto" w:fill="FFFFFF" w:themeFill="background1"/>
          </w:tcPr>
          <w:p w14:paraId="45570A0E" w14:textId="77777777" w:rsidR="00484444" w:rsidRPr="00484444" w:rsidRDefault="00DD058E" w:rsidP="008605FE">
            <w:pPr>
              <w:keepNext/>
              <w:spacing w:before="120" w:after="0" w:line="240" w:lineRule="auto"/>
              <w:outlineLvl w:val="0"/>
              <w:rPr>
                <w:rFonts w:ascii="Arial" w:eastAsia="Times New Roman" w:hAnsi="Arial" w:cs="Times New Roman"/>
                <w:b/>
                <w:sz w:val="24"/>
                <w:szCs w:val="20"/>
              </w:rPr>
            </w:pPr>
            <w:r>
              <w:rPr>
                <w:rFonts w:ascii="Arial" w:eastAsia="Times New Roman" w:hAnsi="Arial" w:cs="Times New Roman"/>
                <w:b/>
                <w:sz w:val="24"/>
                <w:szCs w:val="20"/>
              </w:rPr>
              <w:t>PURPOSE OF THE JOB</w:t>
            </w:r>
          </w:p>
        </w:tc>
      </w:tr>
    </w:tbl>
    <w:p w14:paraId="53D83C06" w14:textId="2A3577CF" w:rsidR="00484444" w:rsidRDefault="00484444" w:rsidP="008605FE">
      <w:pPr>
        <w:spacing w:after="0" w:line="240" w:lineRule="auto"/>
        <w:rPr>
          <w:rFonts w:ascii="Arial" w:eastAsia="Times New Roman" w:hAnsi="Arial" w:cs="Times New Roman"/>
          <w:szCs w:val="20"/>
        </w:rPr>
      </w:pPr>
    </w:p>
    <w:p w14:paraId="743D53DC" w14:textId="69B92501" w:rsidR="007B44B4" w:rsidRPr="007B44B4" w:rsidRDefault="00E51D7A" w:rsidP="007E3A7E">
      <w:pPr>
        <w:spacing w:after="0" w:line="240" w:lineRule="auto"/>
        <w:jc w:val="both"/>
        <w:rPr>
          <w:rFonts w:ascii="Arial" w:eastAsia="Times New Roman" w:hAnsi="Arial" w:cs="Arial"/>
        </w:rPr>
      </w:pPr>
      <w:r>
        <w:rPr>
          <w:rFonts w:ascii="Arial" w:eastAsia="Times New Roman" w:hAnsi="Arial" w:cs="Arial"/>
        </w:rPr>
        <w:t>To</w:t>
      </w:r>
      <w:r w:rsidR="007B44B4" w:rsidRPr="007B44B4">
        <w:rPr>
          <w:rFonts w:ascii="Arial" w:eastAsia="Times New Roman" w:hAnsi="Arial" w:cs="Arial"/>
        </w:rPr>
        <w:t xml:space="preserve"> provide public health advice and support to other members of the team across the broad spectrum of public health, and have a major input into work on the development of public health programmes and projects.  The post will support the equitable, and evidence-based, delivery of Council, NHS and other services to the Southwark population to promote better health and wellbeing and to reduce health inequalities.</w:t>
      </w:r>
    </w:p>
    <w:p w14:paraId="6FC70652" w14:textId="77777777" w:rsidR="007B44B4" w:rsidRPr="007B44B4" w:rsidRDefault="007B44B4" w:rsidP="007E3A7E">
      <w:pPr>
        <w:spacing w:after="0" w:line="240" w:lineRule="auto"/>
        <w:jc w:val="both"/>
        <w:rPr>
          <w:rFonts w:ascii="Arial" w:eastAsia="Times New Roman" w:hAnsi="Arial" w:cs="Arial"/>
          <w:color w:val="000000" w:themeColor="text1"/>
          <w:lang w:eastAsia="en-GB"/>
        </w:rPr>
      </w:pPr>
    </w:p>
    <w:p w14:paraId="414A6B1B" w14:textId="2B6D3D49" w:rsidR="007B44B4" w:rsidRPr="007B44B4" w:rsidRDefault="00E51D7A" w:rsidP="007E3A7E">
      <w:pPr>
        <w:spacing w:after="0" w:line="240" w:lineRule="auto"/>
        <w:jc w:val="both"/>
        <w:rPr>
          <w:rFonts w:ascii="Arial" w:eastAsia="Times New Roman" w:hAnsi="Arial" w:cs="Arial"/>
        </w:rPr>
      </w:pPr>
      <w:r>
        <w:rPr>
          <w:rFonts w:ascii="Arial" w:eastAsia="Times New Roman" w:hAnsi="Arial" w:cs="Arial"/>
        </w:rPr>
        <w:t>To</w:t>
      </w:r>
      <w:r w:rsidR="007B44B4" w:rsidRPr="007B44B4">
        <w:rPr>
          <w:rFonts w:ascii="Arial" w:eastAsia="Times New Roman" w:hAnsi="Arial" w:cs="Arial"/>
        </w:rPr>
        <w:t xml:space="preserve"> take a strategic lead on major, specific areas of work identified within key public health programmes and/or lead responsibility for managing the development, implementation and evaluation of projects, programmes and other areas of work, working to the relevant responsible Head of Programme and Consultant in Public Health.  </w:t>
      </w:r>
    </w:p>
    <w:p w14:paraId="5EFBB343" w14:textId="77777777" w:rsidR="007B44B4" w:rsidRPr="007B44B4" w:rsidRDefault="007B44B4" w:rsidP="007E3A7E">
      <w:pPr>
        <w:spacing w:after="0" w:line="240" w:lineRule="auto"/>
        <w:jc w:val="both"/>
        <w:rPr>
          <w:rFonts w:ascii="Arial" w:eastAsia="Times New Roman" w:hAnsi="Arial" w:cs="Arial"/>
        </w:rPr>
      </w:pPr>
    </w:p>
    <w:p w14:paraId="791903FA" w14:textId="26F59F76" w:rsidR="007B44B4" w:rsidRPr="007B44B4" w:rsidRDefault="00E51D7A" w:rsidP="007E3A7E">
      <w:pPr>
        <w:spacing w:after="0" w:line="240" w:lineRule="auto"/>
        <w:jc w:val="both"/>
        <w:rPr>
          <w:rFonts w:ascii="Arial" w:eastAsia="Times New Roman" w:hAnsi="Arial" w:cs="Arial"/>
        </w:rPr>
      </w:pPr>
      <w:r>
        <w:rPr>
          <w:rFonts w:ascii="Arial" w:eastAsia="Times New Roman" w:hAnsi="Arial" w:cs="Arial"/>
        </w:rPr>
        <w:t>W</w:t>
      </w:r>
      <w:r w:rsidR="007B44B4" w:rsidRPr="007B44B4">
        <w:rPr>
          <w:rFonts w:ascii="Arial" w:eastAsia="Times New Roman" w:hAnsi="Arial" w:cs="Arial"/>
        </w:rPr>
        <w:t>ork with services and other partner organisations to help build public health capacity and capability and support the design, implementation and evaluation of services, programmes and pathways.</w:t>
      </w:r>
    </w:p>
    <w:p w14:paraId="4FBA8A93" w14:textId="77777777" w:rsidR="007B44B4" w:rsidRPr="007B44B4" w:rsidRDefault="007B44B4" w:rsidP="007E3A7E">
      <w:pPr>
        <w:spacing w:after="0" w:line="240" w:lineRule="auto"/>
        <w:ind w:left="1080"/>
        <w:jc w:val="both"/>
        <w:rPr>
          <w:rFonts w:ascii="Arial" w:eastAsia="Times New Roman" w:hAnsi="Arial" w:cs="Arial"/>
        </w:rPr>
      </w:pPr>
    </w:p>
    <w:p w14:paraId="426313E0" w14:textId="6F462D87" w:rsidR="007B44B4" w:rsidRPr="007B44B4" w:rsidRDefault="00E51D7A" w:rsidP="007E3A7E">
      <w:pPr>
        <w:spacing w:after="0" w:line="240" w:lineRule="auto"/>
        <w:jc w:val="both"/>
        <w:rPr>
          <w:rFonts w:ascii="Arial" w:eastAsia="Times New Roman" w:hAnsi="Arial" w:cs="Arial"/>
        </w:rPr>
      </w:pPr>
      <w:r>
        <w:rPr>
          <w:rFonts w:ascii="Arial" w:eastAsia="Times New Roman" w:hAnsi="Arial" w:cs="Arial"/>
        </w:rPr>
        <w:t>C</w:t>
      </w:r>
      <w:r w:rsidR="007B44B4" w:rsidRPr="007B44B4">
        <w:rPr>
          <w:rFonts w:ascii="Arial" w:eastAsia="Times New Roman" w:hAnsi="Arial" w:cs="Arial"/>
        </w:rPr>
        <w:t>ritically appraise evidence from a range of sources, make recommendations and take actions to implement, based on a sound and thorough understanding and analysis of the evidence base, information and data.</w:t>
      </w:r>
    </w:p>
    <w:p w14:paraId="6DFE567C" w14:textId="77777777" w:rsidR="007B44B4" w:rsidRPr="007B44B4" w:rsidRDefault="007B44B4" w:rsidP="007E3A7E">
      <w:pPr>
        <w:spacing w:after="0" w:line="240" w:lineRule="auto"/>
        <w:ind w:left="1080"/>
        <w:jc w:val="both"/>
        <w:rPr>
          <w:rFonts w:ascii="Arial" w:eastAsia="Times New Roman" w:hAnsi="Arial" w:cs="Arial"/>
        </w:rPr>
      </w:pPr>
    </w:p>
    <w:p w14:paraId="5148B248" w14:textId="712131AE" w:rsidR="007B44B4" w:rsidRPr="007B44B4" w:rsidRDefault="00E51D7A" w:rsidP="007E3A7E">
      <w:pPr>
        <w:spacing w:after="0" w:line="240" w:lineRule="auto"/>
        <w:jc w:val="both"/>
        <w:rPr>
          <w:rFonts w:ascii="Arial" w:eastAsia="Times New Roman" w:hAnsi="Arial" w:cs="Arial"/>
        </w:rPr>
      </w:pPr>
      <w:r>
        <w:rPr>
          <w:rFonts w:ascii="Arial" w:eastAsia="Times New Roman" w:hAnsi="Arial" w:cs="Arial"/>
        </w:rPr>
        <w:t>R</w:t>
      </w:r>
      <w:r w:rsidR="007B44B4" w:rsidRPr="007B44B4">
        <w:rPr>
          <w:rFonts w:ascii="Arial" w:eastAsia="Times New Roman" w:hAnsi="Arial" w:cs="Arial"/>
        </w:rPr>
        <w:t>esponsible for creating and sustaining good working relationships in support of developing and delivery of key public health outcomes, within the Council, the NHS, South East London Integrated Commissioning Board (SEL ICB), Partnership Southwark, Community and Voluntary Sector and other relevant partners, and commissioned service providers.</w:t>
      </w:r>
    </w:p>
    <w:p w14:paraId="6CEC48E6" w14:textId="77777777" w:rsidR="007B44B4" w:rsidRPr="007B44B4" w:rsidRDefault="007B44B4" w:rsidP="007E3A7E">
      <w:pPr>
        <w:spacing w:after="0" w:line="240" w:lineRule="auto"/>
        <w:ind w:left="1080"/>
        <w:jc w:val="both"/>
        <w:rPr>
          <w:rFonts w:ascii="Arial" w:eastAsia="Times New Roman" w:hAnsi="Arial" w:cs="Arial"/>
        </w:rPr>
      </w:pPr>
    </w:p>
    <w:p w14:paraId="10B8183D" w14:textId="77777777" w:rsidR="008C0FC8" w:rsidRDefault="00E51D7A" w:rsidP="007E3A7E">
      <w:pPr>
        <w:spacing w:after="0" w:line="240" w:lineRule="auto"/>
        <w:jc w:val="both"/>
        <w:rPr>
          <w:rFonts w:ascii="Arial" w:eastAsia="Times New Roman" w:hAnsi="Arial" w:cs="Arial"/>
        </w:rPr>
      </w:pPr>
      <w:r>
        <w:rPr>
          <w:rFonts w:ascii="Arial" w:eastAsia="Times New Roman" w:hAnsi="Arial" w:cs="Arial"/>
        </w:rPr>
        <w:t>T</w:t>
      </w:r>
      <w:r w:rsidR="007B44B4" w:rsidRPr="007B44B4">
        <w:rPr>
          <w:rFonts w:ascii="Arial" w:eastAsia="Times New Roman" w:hAnsi="Arial" w:cs="Arial"/>
        </w:rPr>
        <w:t>ake a lead on specific pieces of work and topic areas as well as supporting others. These areas of responsibility and work will change over time as projects come to an end, the needs of the Department and Council change and to achieve broad experience in public health practice in line with agreed personal and professional development goals</w:t>
      </w:r>
      <w:r w:rsidR="007B44B4">
        <w:rPr>
          <w:rFonts w:ascii="Arial" w:eastAsia="Times New Roman" w:hAnsi="Arial" w:cs="Arial"/>
        </w:rPr>
        <w:t xml:space="preserve">. </w:t>
      </w:r>
    </w:p>
    <w:p w14:paraId="54DA5D04" w14:textId="77777777" w:rsidR="008C0FC8" w:rsidRDefault="008C0FC8" w:rsidP="007E3A7E">
      <w:pPr>
        <w:spacing w:after="0" w:line="240" w:lineRule="auto"/>
        <w:jc w:val="both"/>
        <w:rPr>
          <w:rFonts w:ascii="Arial" w:eastAsia="Times New Roman" w:hAnsi="Arial" w:cs="Arial"/>
        </w:rPr>
      </w:pPr>
    </w:p>
    <w:p w14:paraId="713F0A8A" w14:textId="77777777" w:rsidR="00150DB7" w:rsidRDefault="007B44B4" w:rsidP="007E3A7E">
      <w:pPr>
        <w:spacing w:after="0" w:line="240" w:lineRule="auto"/>
        <w:jc w:val="both"/>
        <w:rPr>
          <w:rFonts w:ascii="Arial" w:eastAsia="Times New Roman" w:hAnsi="Arial" w:cs="Arial"/>
          <w:lang w:val="en-US"/>
        </w:rPr>
      </w:pPr>
      <w:r w:rsidRPr="007B44B4">
        <w:rPr>
          <w:rFonts w:ascii="Arial" w:eastAsia="Times New Roman" w:hAnsi="Arial" w:cs="Arial"/>
          <w:lang w:val="en-US"/>
        </w:rPr>
        <w:t>The post provides the opportunity to gain a broad experience of public health functions for those wishing to develop a</w:t>
      </w:r>
      <w:r w:rsidR="00E51D7A">
        <w:rPr>
          <w:rFonts w:ascii="Arial" w:eastAsia="Times New Roman" w:hAnsi="Arial" w:cs="Arial"/>
          <w:lang w:val="en-US"/>
        </w:rPr>
        <w:t xml:space="preserve"> formal career in public health. </w:t>
      </w:r>
    </w:p>
    <w:p w14:paraId="41D3AA44" w14:textId="6F7C4BBF" w:rsidR="00E51D7A" w:rsidRPr="00150DB7" w:rsidRDefault="00E51D7A" w:rsidP="007E3A7E">
      <w:pPr>
        <w:spacing w:after="0" w:line="240" w:lineRule="auto"/>
        <w:jc w:val="both"/>
        <w:rPr>
          <w:rFonts w:ascii="Arial" w:eastAsia="Times New Roman" w:hAnsi="Arial" w:cs="Arial"/>
          <w:lang w:val="en-US"/>
        </w:rPr>
      </w:pPr>
    </w:p>
    <w:p w14:paraId="48309E7D" w14:textId="77777777" w:rsidR="00E51D7A" w:rsidRPr="007B44B4" w:rsidRDefault="00E51D7A" w:rsidP="007E3A7E">
      <w:pPr>
        <w:spacing w:after="0" w:line="240" w:lineRule="auto"/>
        <w:jc w:val="both"/>
        <w:rPr>
          <w:rFonts w:ascii="Arial" w:eastAsia="Times New Roman" w:hAnsi="Arial" w:cs="Arial"/>
        </w:rPr>
      </w:pPr>
    </w:p>
    <w:p w14:paraId="63825A40" w14:textId="77777777" w:rsidR="007B44B4" w:rsidRDefault="007B44B4" w:rsidP="007B44B4">
      <w:pPr>
        <w:spacing w:after="0" w:line="240" w:lineRule="auto"/>
        <w:jc w:val="both"/>
        <w:rPr>
          <w:rFonts w:ascii="Arial" w:eastAsia="Times New Roman" w:hAnsi="Arial" w:cs="Arial"/>
          <w:sz w:val="24"/>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640"/>
      </w:tblGrid>
      <w:tr w:rsidR="00484444" w:rsidRPr="00484444" w14:paraId="6A2EFCE5" w14:textId="77777777" w:rsidTr="007B44B4">
        <w:trPr>
          <w:trHeight w:val="117"/>
        </w:trPr>
        <w:tc>
          <w:tcPr>
            <w:tcW w:w="9640" w:type="dxa"/>
            <w:shd w:val="clear" w:color="auto" w:fill="FFFFFF" w:themeFill="background1"/>
          </w:tcPr>
          <w:p w14:paraId="24D3BE0F" w14:textId="77777777" w:rsidR="00484444" w:rsidRPr="00484444" w:rsidRDefault="00DD058E" w:rsidP="008605FE">
            <w:pPr>
              <w:keepNext/>
              <w:spacing w:before="120" w:after="0" w:line="240" w:lineRule="auto"/>
              <w:outlineLvl w:val="0"/>
              <w:rPr>
                <w:rFonts w:ascii="Arial" w:eastAsia="Times New Roman" w:hAnsi="Arial" w:cs="Times New Roman"/>
                <w:b/>
                <w:sz w:val="24"/>
                <w:szCs w:val="20"/>
              </w:rPr>
            </w:pPr>
            <w:r>
              <w:rPr>
                <w:rFonts w:ascii="Arial" w:eastAsia="Times New Roman" w:hAnsi="Arial" w:cs="Times New Roman"/>
                <w:b/>
                <w:sz w:val="24"/>
                <w:szCs w:val="20"/>
              </w:rPr>
              <w:lastRenderedPageBreak/>
              <w:t>PRINCIPAL ACCOUNTABILITIES</w:t>
            </w:r>
          </w:p>
        </w:tc>
      </w:tr>
    </w:tbl>
    <w:p w14:paraId="27A8C6EB" w14:textId="77777777" w:rsidR="00484444" w:rsidRPr="00484444" w:rsidRDefault="00484444" w:rsidP="008605FE">
      <w:pPr>
        <w:tabs>
          <w:tab w:val="left" w:pos="360"/>
          <w:tab w:val="left" w:pos="1843"/>
        </w:tabs>
        <w:spacing w:after="0" w:line="240" w:lineRule="auto"/>
        <w:rPr>
          <w:rFonts w:ascii="Arial" w:eastAsia="Times New Roman" w:hAnsi="Arial" w:cs="Arial"/>
          <w:sz w:val="24"/>
          <w:szCs w:val="24"/>
        </w:rPr>
      </w:pPr>
    </w:p>
    <w:p w14:paraId="11B4DAFB" w14:textId="281B0180" w:rsidR="00484444" w:rsidRPr="007B44B4" w:rsidRDefault="007969B5" w:rsidP="008605FE">
      <w:pPr>
        <w:spacing w:after="0" w:line="240" w:lineRule="auto"/>
        <w:rPr>
          <w:rFonts w:ascii="Arial" w:eastAsia="Times New Roman" w:hAnsi="Arial" w:cs="Arial"/>
          <w:b/>
        </w:rPr>
      </w:pPr>
      <w:r w:rsidRPr="007B44B4">
        <w:rPr>
          <w:rFonts w:ascii="Arial" w:eastAsia="Times New Roman" w:hAnsi="Arial" w:cs="Arial"/>
          <w:b/>
        </w:rPr>
        <w:t>R</w:t>
      </w:r>
      <w:r w:rsidR="00484444" w:rsidRPr="007B44B4">
        <w:rPr>
          <w:rFonts w:ascii="Arial" w:eastAsia="Times New Roman" w:hAnsi="Arial" w:cs="Arial"/>
          <w:b/>
        </w:rPr>
        <w:t>esponsibilities</w:t>
      </w:r>
    </w:p>
    <w:p w14:paraId="56E3E5DD" w14:textId="77777777" w:rsidR="00612E17" w:rsidRPr="007B44B4" w:rsidRDefault="00612E17" w:rsidP="00612E17">
      <w:pPr>
        <w:spacing w:after="0" w:line="240" w:lineRule="auto"/>
        <w:rPr>
          <w:rFonts w:ascii="Arial" w:eastAsia="Times New Roman" w:hAnsi="Arial" w:cs="Arial"/>
        </w:rPr>
      </w:pPr>
    </w:p>
    <w:p w14:paraId="7FF644FE" w14:textId="6042A516" w:rsidR="00612E17" w:rsidRPr="007B44B4" w:rsidRDefault="00612E17" w:rsidP="007B44B4">
      <w:pPr>
        <w:pStyle w:val="ListParagraph"/>
        <w:numPr>
          <w:ilvl w:val="0"/>
          <w:numId w:val="2"/>
        </w:numPr>
        <w:spacing w:after="0" w:line="240" w:lineRule="auto"/>
        <w:jc w:val="both"/>
        <w:rPr>
          <w:rFonts w:ascii="Arial" w:eastAsia="Times New Roman" w:hAnsi="Arial" w:cs="Arial"/>
          <w:color w:val="000000" w:themeColor="text1"/>
        </w:rPr>
      </w:pPr>
      <w:r w:rsidRPr="007B44B4">
        <w:rPr>
          <w:rFonts w:ascii="Arial" w:eastAsia="Times New Roman" w:hAnsi="Arial" w:cs="Arial"/>
          <w:lang w:eastAsia="en-GB"/>
        </w:rPr>
        <w:t xml:space="preserve">To take a strategic lead on specific areas of public health work, supporting high quality commissioning, developing the public health capacity and capability of the council and services, and/or leading on health needs analysis and improvement, as required by the specific lead areas. </w:t>
      </w:r>
    </w:p>
    <w:p w14:paraId="56675465" w14:textId="5F109C15" w:rsidR="00612E17" w:rsidRPr="007B44B4" w:rsidRDefault="00612E17" w:rsidP="00494A4F">
      <w:pPr>
        <w:spacing w:after="0" w:line="240" w:lineRule="auto"/>
        <w:jc w:val="both"/>
        <w:rPr>
          <w:rFonts w:ascii="Arial" w:eastAsia="Times New Roman" w:hAnsi="Arial" w:cs="Arial"/>
          <w:lang w:eastAsia="en-GB"/>
        </w:rPr>
      </w:pPr>
    </w:p>
    <w:p w14:paraId="551D8ADF" w14:textId="77777777" w:rsidR="00612E17" w:rsidRPr="007B44B4" w:rsidRDefault="00612E17" w:rsidP="007B44B4">
      <w:pPr>
        <w:pStyle w:val="ListParagraph"/>
        <w:numPr>
          <w:ilvl w:val="0"/>
          <w:numId w:val="2"/>
        </w:numPr>
        <w:spacing w:after="0" w:line="240" w:lineRule="auto"/>
        <w:jc w:val="both"/>
        <w:rPr>
          <w:rFonts w:ascii="Arial" w:eastAsia="Times New Roman" w:hAnsi="Arial" w:cs="Arial"/>
          <w:lang w:eastAsia="en-GB"/>
        </w:rPr>
      </w:pPr>
      <w:r w:rsidRPr="007B44B4">
        <w:rPr>
          <w:rFonts w:ascii="Arial" w:eastAsia="Times New Roman" w:hAnsi="Arial" w:cs="Arial"/>
          <w:lang w:eastAsia="en-GB"/>
        </w:rPr>
        <w:t>To support the delivery of identified key targets, service improvements and strategic planning on behalf of the department.</w:t>
      </w:r>
    </w:p>
    <w:p w14:paraId="6965613B" w14:textId="77777777" w:rsidR="00612E17" w:rsidRPr="007B44B4" w:rsidRDefault="00612E17" w:rsidP="00494A4F">
      <w:pPr>
        <w:spacing w:after="0" w:line="240" w:lineRule="auto"/>
        <w:ind w:left="786"/>
        <w:jc w:val="both"/>
        <w:rPr>
          <w:rFonts w:ascii="Arial" w:eastAsia="Times New Roman" w:hAnsi="Arial" w:cs="Arial"/>
          <w:lang w:eastAsia="en-GB"/>
        </w:rPr>
      </w:pPr>
    </w:p>
    <w:p w14:paraId="714FF490" w14:textId="059F5D95" w:rsidR="00612E17" w:rsidRPr="007B44B4" w:rsidRDefault="00612E17" w:rsidP="007B44B4">
      <w:pPr>
        <w:pStyle w:val="ListParagraph"/>
        <w:numPr>
          <w:ilvl w:val="0"/>
          <w:numId w:val="2"/>
        </w:numPr>
        <w:spacing w:after="0" w:line="240" w:lineRule="auto"/>
        <w:jc w:val="both"/>
        <w:rPr>
          <w:rFonts w:ascii="Arial" w:eastAsia="Times New Roman" w:hAnsi="Arial" w:cs="Arial"/>
          <w:lang w:eastAsia="en-GB"/>
        </w:rPr>
      </w:pPr>
      <w:r w:rsidRPr="007B44B4">
        <w:rPr>
          <w:rFonts w:ascii="Arial" w:eastAsia="Times New Roman" w:hAnsi="Arial" w:cs="Arial"/>
          <w:lang w:eastAsia="en-GB"/>
        </w:rPr>
        <w:t>To work with other leads in public health to co-ordinate planning and action on cross-cutting work, such as maternity and children and young people, older people and adults, tobacco &amp; smoking, obesity, physical activity, mental health and wel</w:t>
      </w:r>
      <w:r w:rsidR="00494A4F" w:rsidRPr="007B44B4">
        <w:rPr>
          <w:rFonts w:ascii="Arial" w:eastAsia="Times New Roman" w:hAnsi="Arial" w:cs="Arial"/>
          <w:lang w:eastAsia="en-GB"/>
        </w:rPr>
        <w:t>lbeing, vascular risk reduction and</w:t>
      </w:r>
      <w:r w:rsidRPr="007B44B4">
        <w:rPr>
          <w:rFonts w:ascii="Arial" w:eastAsia="Times New Roman" w:hAnsi="Arial" w:cs="Arial"/>
          <w:lang w:eastAsia="en-GB"/>
        </w:rPr>
        <w:t xml:space="preserve"> sexual </w:t>
      </w:r>
      <w:r w:rsidR="00494A4F" w:rsidRPr="007B44B4">
        <w:rPr>
          <w:rFonts w:ascii="Arial" w:eastAsia="Times New Roman" w:hAnsi="Arial" w:cs="Arial"/>
          <w:lang w:eastAsia="en-GB"/>
        </w:rPr>
        <w:t>health</w:t>
      </w:r>
      <w:r w:rsidRPr="007B44B4">
        <w:rPr>
          <w:rFonts w:ascii="Arial" w:eastAsia="Times New Roman" w:hAnsi="Arial" w:cs="Arial"/>
          <w:lang w:eastAsia="en-GB"/>
        </w:rPr>
        <w:t>.</w:t>
      </w:r>
    </w:p>
    <w:p w14:paraId="23663A3E" w14:textId="77777777" w:rsidR="00612E17" w:rsidRPr="007B44B4" w:rsidRDefault="00612E17" w:rsidP="00494A4F">
      <w:pPr>
        <w:spacing w:after="0" w:line="240" w:lineRule="auto"/>
        <w:ind w:left="786"/>
        <w:jc w:val="both"/>
        <w:rPr>
          <w:rFonts w:ascii="Arial" w:eastAsia="Times New Roman" w:hAnsi="Arial" w:cs="Arial"/>
          <w:lang w:eastAsia="en-GB"/>
        </w:rPr>
      </w:pPr>
    </w:p>
    <w:p w14:paraId="50877E9F" w14:textId="044B3222" w:rsidR="00612E17" w:rsidRPr="007B44B4" w:rsidRDefault="00612E17" w:rsidP="007B44B4">
      <w:pPr>
        <w:pStyle w:val="ListParagraph"/>
        <w:numPr>
          <w:ilvl w:val="0"/>
          <w:numId w:val="2"/>
        </w:numPr>
        <w:spacing w:after="0" w:line="240" w:lineRule="auto"/>
        <w:jc w:val="both"/>
        <w:rPr>
          <w:rFonts w:ascii="Arial" w:eastAsia="Times New Roman" w:hAnsi="Arial" w:cs="Arial"/>
          <w:lang w:eastAsia="en-GB"/>
        </w:rPr>
      </w:pPr>
      <w:r w:rsidRPr="007B44B4">
        <w:rPr>
          <w:rFonts w:ascii="Arial" w:eastAsia="Times New Roman" w:hAnsi="Arial" w:cs="Arial"/>
          <w:lang w:eastAsia="en-GB"/>
        </w:rPr>
        <w:t>To appropriately receive, log, handle and store confidential data in line with information governance principals in place within the Public Health division and council. Provide support to the pandemic response, including logging of information, taking action to control risks, providing advice and interpreting guidance.</w:t>
      </w:r>
    </w:p>
    <w:p w14:paraId="7911885A" w14:textId="77777777" w:rsidR="00612E17" w:rsidRPr="007B44B4" w:rsidRDefault="00612E17" w:rsidP="00494A4F">
      <w:pPr>
        <w:spacing w:after="0" w:line="240" w:lineRule="auto"/>
        <w:jc w:val="both"/>
        <w:rPr>
          <w:rFonts w:ascii="Arial" w:eastAsia="Times New Roman" w:hAnsi="Arial" w:cs="Arial"/>
          <w:b/>
        </w:rPr>
      </w:pPr>
    </w:p>
    <w:p w14:paraId="32580C4A" w14:textId="77777777" w:rsidR="00612E17" w:rsidRPr="007B44B4" w:rsidRDefault="00612E17" w:rsidP="007B44B4">
      <w:pPr>
        <w:pStyle w:val="ListParagraph"/>
        <w:numPr>
          <w:ilvl w:val="0"/>
          <w:numId w:val="2"/>
        </w:numPr>
        <w:spacing w:after="0" w:line="240" w:lineRule="auto"/>
        <w:jc w:val="both"/>
        <w:rPr>
          <w:rFonts w:ascii="Arial" w:eastAsia="Times New Roman" w:hAnsi="Arial" w:cs="Arial"/>
          <w:lang w:eastAsia="en-GB"/>
        </w:rPr>
      </w:pPr>
      <w:r w:rsidRPr="007B44B4">
        <w:rPr>
          <w:rFonts w:ascii="Arial" w:eastAsia="Times New Roman" w:hAnsi="Arial" w:cs="Arial"/>
          <w:lang w:eastAsia="en-GB"/>
        </w:rPr>
        <w:t xml:space="preserve">To demonstrate in depth knowledge of public health evidence base that informs regional and local programme delivery and health and wellbeing policies and procedures. </w:t>
      </w:r>
    </w:p>
    <w:p w14:paraId="76DC4E24" w14:textId="77777777" w:rsidR="00612E17" w:rsidRPr="007B44B4" w:rsidRDefault="00612E17" w:rsidP="00494A4F">
      <w:pPr>
        <w:spacing w:after="0" w:line="240" w:lineRule="auto"/>
        <w:ind w:left="786"/>
        <w:jc w:val="both"/>
        <w:rPr>
          <w:rFonts w:ascii="Arial" w:eastAsia="Times New Roman" w:hAnsi="Arial" w:cs="Arial"/>
          <w:lang w:eastAsia="en-GB"/>
        </w:rPr>
      </w:pPr>
    </w:p>
    <w:p w14:paraId="6B931702" w14:textId="3E2E51D1" w:rsidR="00612E17" w:rsidRPr="007B44B4" w:rsidRDefault="00612E17" w:rsidP="007B44B4">
      <w:pPr>
        <w:numPr>
          <w:ilvl w:val="0"/>
          <w:numId w:val="2"/>
        </w:numPr>
        <w:spacing w:after="0" w:line="240" w:lineRule="auto"/>
        <w:jc w:val="both"/>
        <w:rPr>
          <w:rFonts w:ascii="Arial" w:eastAsia="Times New Roman" w:hAnsi="Arial" w:cs="Arial"/>
          <w:lang w:eastAsia="en-GB"/>
        </w:rPr>
      </w:pPr>
      <w:r w:rsidRPr="007B44B4">
        <w:rPr>
          <w:rFonts w:ascii="Arial" w:eastAsia="Times New Roman" w:hAnsi="Arial" w:cs="Arial"/>
          <w:lang w:eastAsia="en-GB"/>
        </w:rPr>
        <w:t xml:space="preserve">To support the development and production and completion of public </w:t>
      </w:r>
      <w:r w:rsidR="00494A4F" w:rsidRPr="007B44B4">
        <w:rPr>
          <w:rFonts w:ascii="Arial" w:eastAsia="Times New Roman" w:hAnsi="Arial" w:cs="Arial"/>
          <w:lang w:eastAsia="en-GB"/>
        </w:rPr>
        <w:t>health</w:t>
      </w:r>
      <w:r w:rsidRPr="007B44B4">
        <w:rPr>
          <w:rFonts w:ascii="Arial" w:eastAsia="Times New Roman" w:hAnsi="Arial" w:cs="Arial"/>
          <w:lang w:eastAsia="en-GB"/>
        </w:rPr>
        <w:t xml:space="preserve"> reports and programmes, </w:t>
      </w:r>
      <w:r w:rsidRPr="007B44B4">
        <w:rPr>
          <w:rFonts w:ascii="Arial" w:eastAsia="Times New Roman" w:hAnsi="Arial" w:cs="Arial"/>
        </w:rPr>
        <w:t>as well as contributing to other plans to address health inequalities, including writing, collating and/or editing chapters and reports. D</w:t>
      </w:r>
      <w:r w:rsidRPr="007B44B4">
        <w:rPr>
          <w:rFonts w:ascii="Arial" w:eastAsia="Times New Roman" w:hAnsi="Arial" w:cs="Arial"/>
          <w:lang w:eastAsia="en-GB"/>
        </w:rPr>
        <w:t>emonstrate highly developed interpretation and report writing skills and the ability to explain complex information in simple terms to a variety of audiences in a range of formats, including meetings, presentations and conferences.</w:t>
      </w:r>
    </w:p>
    <w:p w14:paraId="3A4140D2" w14:textId="45B62B59" w:rsidR="00612E17" w:rsidRPr="007B44B4" w:rsidRDefault="00612E17" w:rsidP="00494A4F">
      <w:pPr>
        <w:spacing w:after="0" w:line="240" w:lineRule="auto"/>
        <w:jc w:val="both"/>
        <w:rPr>
          <w:rFonts w:ascii="Arial" w:eastAsia="Times New Roman" w:hAnsi="Arial" w:cs="Arial"/>
          <w:lang w:eastAsia="en-GB"/>
        </w:rPr>
      </w:pPr>
    </w:p>
    <w:p w14:paraId="7C653D1D" w14:textId="33EC4846" w:rsidR="00612E17" w:rsidRPr="007B44B4" w:rsidRDefault="00612E17" w:rsidP="007B44B4">
      <w:pPr>
        <w:numPr>
          <w:ilvl w:val="0"/>
          <w:numId w:val="2"/>
        </w:numPr>
        <w:spacing w:after="0" w:line="240" w:lineRule="auto"/>
        <w:jc w:val="both"/>
        <w:rPr>
          <w:rFonts w:ascii="Arial" w:eastAsia="Times New Roman" w:hAnsi="Arial" w:cs="Arial"/>
          <w:lang w:eastAsia="en-GB"/>
        </w:rPr>
      </w:pPr>
      <w:r w:rsidRPr="007B44B4">
        <w:rPr>
          <w:rFonts w:ascii="Arial" w:eastAsia="Times New Roman" w:hAnsi="Arial" w:cs="Arial"/>
        </w:rPr>
        <w:t>To collate, analyse and interpret key public health data, information and evidence, to profile health needs and status of the population in Southwark and to identify priorities and trajectories for improvement.</w:t>
      </w:r>
      <w:r w:rsidR="00494A4F" w:rsidRPr="007B44B4">
        <w:rPr>
          <w:rFonts w:ascii="Arial" w:eastAsia="Times New Roman" w:hAnsi="Arial" w:cs="Arial"/>
        </w:rPr>
        <w:t xml:space="preserve"> U</w:t>
      </w:r>
      <w:r w:rsidRPr="007B44B4">
        <w:rPr>
          <w:rFonts w:ascii="Arial" w:eastAsia="Times New Roman" w:hAnsi="Arial" w:cs="Arial"/>
        </w:rPr>
        <w:t>se data and intelligence from other agencies and information providers relevant to public health in order to develop their usefulness for the local promotion and protection of health and reduction of health inequalities.</w:t>
      </w:r>
    </w:p>
    <w:p w14:paraId="52E68B8D" w14:textId="77777777" w:rsidR="00612E17" w:rsidRPr="007B44B4" w:rsidRDefault="00612E17" w:rsidP="00494A4F">
      <w:pPr>
        <w:spacing w:after="0" w:line="240" w:lineRule="auto"/>
        <w:ind w:left="786"/>
        <w:jc w:val="both"/>
        <w:rPr>
          <w:rFonts w:ascii="Arial" w:eastAsia="Times New Roman" w:hAnsi="Arial" w:cs="Arial"/>
          <w:lang w:eastAsia="en-GB"/>
        </w:rPr>
      </w:pPr>
    </w:p>
    <w:p w14:paraId="616A4AC9" w14:textId="0284B42B" w:rsidR="00612E17" w:rsidRPr="007B44B4" w:rsidRDefault="00612E17" w:rsidP="007B44B4">
      <w:pPr>
        <w:numPr>
          <w:ilvl w:val="0"/>
          <w:numId w:val="2"/>
        </w:numPr>
        <w:spacing w:after="0" w:line="240" w:lineRule="auto"/>
        <w:jc w:val="both"/>
        <w:rPr>
          <w:rFonts w:ascii="Arial" w:eastAsia="Times New Roman" w:hAnsi="Arial" w:cs="Arial"/>
        </w:rPr>
      </w:pPr>
      <w:r w:rsidRPr="007B44B4">
        <w:rPr>
          <w:rFonts w:ascii="Arial" w:eastAsia="Times New Roman" w:hAnsi="Arial" w:cs="Arial"/>
        </w:rPr>
        <w:t>To undertake literature reviews and other searches, critically appraise the evidence, and present sound evidence-based summaries and actionable recommendations as part of the development, implementation and assessment of policies, programmes and strategies to improve health and wellbeing and/or address health inequalities.</w:t>
      </w:r>
      <w:r w:rsidR="00494A4F" w:rsidRPr="007B44B4">
        <w:rPr>
          <w:rFonts w:ascii="Arial" w:eastAsia="Times New Roman" w:hAnsi="Arial" w:cs="Arial"/>
        </w:rPr>
        <w:t xml:space="preserve"> P</w:t>
      </w:r>
      <w:r w:rsidRPr="007B44B4">
        <w:rPr>
          <w:rFonts w:ascii="Arial" w:eastAsia="Times New Roman" w:hAnsi="Arial" w:cs="Arial"/>
        </w:rPr>
        <w:t>resent reports of review of evidence and analysis in a variety of written, verbal and presentational formats designed to meet a range of purposes and accessible to a variety of audiences.</w:t>
      </w:r>
    </w:p>
    <w:p w14:paraId="45C3DA7C" w14:textId="77777777" w:rsidR="00612E17" w:rsidRPr="007B44B4" w:rsidRDefault="00612E17" w:rsidP="00494A4F">
      <w:pPr>
        <w:spacing w:after="0" w:line="240" w:lineRule="auto"/>
        <w:ind w:left="720"/>
        <w:jc w:val="both"/>
        <w:rPr>
          <w:rFonts w:ascii="Arial" w:eastAsia="Times New Roman" w:hAnsi="Arial" w:cs="Arial"/>
        </w:rPr>
      </w:pPr>
    </w:p>
    <w:p w14:paraId="3C6B0CC0" w14:textId="77777777" w:rsidR="00494A4F" w:rsidRPr="007B44B4" w:rsidRDefault="00612E17" w:rsidP="007B44B4">
      <w:pPr>
        <w:numPr>
          <w:ilvl w:val="0"/>
          <w:numId w:val="2"/>
        </w:numPr>
        <w:spacing w:after="0" w:line="240" w:lineRule="auto"/>
        <w:jc w:val="both"/>
        <w:rPr>
          <w:rFonts w:ascii="Arial" w:eastAsia="Times New Roman" w:hAnsi="Arial" w:cs="Arial"/>
          <w:lang w:eastAsia="en-GB"/>
        </w:rPr>
      </w:pPr>
      <w:r w:rsidRPr="007B44B4">
        <w:rPr>
          <w:rFonts w:ascii="Arial" w:eastAsia="Times New Roman" w:hAnsi="Arial" w:cs="Arial"/>
        </w:rPr>
        <w:t>To contribute to the development, delivery and evaluation of public health programmes within the public health directorate and to a range of other partners, including NHS partners, Community and Voluntary sector partners, clinical networks and the sector public health network</w:t>
      </w:r>
    </w:p>
    <w:p w14:paraId="7382B8C8" w14:textId="77777777" w:rsidR="00494A4F" w:rsidRPr="007B44B4" w:rsidRDefault="00494A4F" w:rsidP="00494A4F">
      <w:pPr>
        <w:spacing w:after="0" w:line="240" w:lineRule="auto"/>
        <w:ind w:left="720"/>
        <w:jc w:val="both"/>
        <w:rPr>
          <w:rFonts w:ascii="Arial" w:eastAsia="Times New Roman" w:hAnsi="Arial" w:cs="Arial"/>
          <w:lang w:eastAsia="en-GB"/>
        </w:rPr>
      </w:pPr>
    </w:p>
    <w:p w14:paraId="6C71CADD" w14:textId="6F68F8CF" w:rsidR="00494A4F" w:rsidRPr="007B44B4" w:rsidRDefault="00494A4F" w:rsidP="007B44B4">
      <w:pPr>
        <w:numPr>
          <w:ilvl w:val="0"/>
          <w:numId w:val="2"/>
        </w:numPr>
        <w:spacing w:after="0" w:line="240" w:lineRule="auto"/>
        <w:jc w:val="both"/>
        <w:rPr>
          <w:rFonts w:ascii="Arial" w:eastAsia="Times New Roman" w:hAnsi="Arial" w:cs="Arial"/>
          <w:lang w:eastAsia="en-GB"/>
        </w:rPr>
      </w:pPr>
      <w:r w:rsidRPr="007B44B4">
        <w:rPr>
          <w:rFonts w:ascii="Arial" w:eastAsia="Times New Roman" w:hAnsi="Arial" w:cs="Arial"/>
        </w:rPr>
        <w:lastRenderedPageBreak/>
        <w:t>To contribute to the commissioning of high quality services by undertaking the assessment of health status and health needs of the Southwark population, health equity audit and health impact assessments, as required, liaising with the local authority and academic partners as appropriate. Understand the complexities of the commissioning cycle and contribute at various points within the commissioning cycle, where appropriate</w:t>
      </w:r>
    </w:p>
    <w:p w14:paraId="291E233F" w14:textId="3E464911" w:rsidR="00494A4F" w:rsidRPr="007B44B4" w:rsidRDefault="00494A4F" w:rsidP="00494A4F">
      <w:pPr>
        <w:spacing w:after="0" w:line="240" w:lineRule="auto"/>
        <w:jc w:val="both"/>
        <w:rPr>
          <w:rFonts w:ascii="Arial" w:eastAsia="Times New Roman" w:hAnsi="Arial" w:cs="Arial"/>
          <w:lang w:eastAsia="en-GB"/>
        </w:rPr>
      </w:pPr>
    </w:p>
    <w:p w14:paraId="4EDD175B" w14:textId="474682EF" w:rsidR="00494A4F" w:rsidRPr="007B44B4" w:rsidRDefault="00494A4F" w:rsidP="007B44B4">
      <w:pPr>
        <w:numPr>
          <w:ilvl w:val="0"/>
          <w:numId w:val="2"/>
        </w:numPr>
        <w:spacing w:after="0" w:line="240" w:lineRule="auto"/>
        <w:jc w:val="both"/>
        <w:rPr>
          <w:rFonts w:ascii="Arial" w:eastAsia="Times New Roman" w:hAnsi="Arial" w:cs="Arial"/>
        </w:rPr>
      </w:pPr>
      <w:r w:rsidRPr="007B44B4">
        <w:rPr>
          <w:rFonts w:ascii="Arial" w:eastAsia="Times New Roman" w:hAnsi="Arial" w:cs="Arial"/>
        </w:rPr>
        <w:t>To demonstrate high level project management skills, develop and manage specific projects and particular areas of work, as necessary, ensuring key milestones and deadlines are met. To manage a number of projects simultaneously, ensuring planning, organising and prioritising workload to meet project deadlines.</w:t>
      </w:r>
    </w:p>
    <w:p w14:paraId="7719DE24" w14:textId="107100A8" w:rsidR="00494A4F" w:rsidRPr="007B44B4" w:rsidRDefault="00494A4F" w:rsidP="00494A4F">
      <w:pPr>
        <w:spacing w:after="0" w:line="240" w:lineRule="auto"/>
        <w:jc w:val="both"/>
        <w:rPr>
          <w:rFonts w:ascii="Arial" w:eastAsia="Times New Roman" w:hAnsi="Arial" w:cs="Arial"/>
        </w:rPr>
      </w:pPr>
    </w:p>
    <w:p w14:paraId="09B173AB" w14:textId="77777777" w:rsidR="00150DB7" w:rsidRDefault="00494A4F" w:rsidP="00150DB7">
      <w:pPr>
        <w:numPr>
          <w:ilvl w:val="0"/>
          <w:numId w:val="2"/>
        </w:numPr>
        <w:spacing w:after="0" w:line="240" w:lineRule="auto"/>
        <w:jc w:val="both"/>
        <w:rPr>
          <w:rFonts w:ascii="Arial" w:eastAsia="Times New Roman" w:hAnsi="Arial" w:cs="Arial"/>
        </w:rPr>
      </w:pPr>
      <w:r w:rsidRPr="007B44B4">
        <w:rPr>
          <w:rFonts w:ascii="Arial" w:eastAsia="Times New Roman" w:hAnsi="Arial" w:cs="Arial"/>
          <w:lang w:eastAsia="en-GB"/>
        </w:rPr>
        <w:t>To contribute to managing, setting and monitoring the public health budget for the particular service area in association with the budget holder. M</w:t>
      </w:r>
      <w:r w:rsidRPr="007B44B4">
        <w:rPr>
          <w:rFonts w:ascii="Arial" w:eastAsia="Times New Roman" w:hAnsi="Arial" w:cs="Arial"/>
        </w:rPr>
        <w:t>anage delegated budgets, as required, as part of lead areas of responsibility or as part of project work, keeping a record of all expenditure and monitoring expenditure against available budget.</w:t>
      </w:r>
    </w:p>
    <w:p w14:paraId="0B0F8D15" w14:textId="77777777" w:rsidR="00150DB7" w:rsidRPr="00150DB7" w:rsidRDefault="00150DB7" w:rsidP="00150DB7">
      <w:pPr>
        <w:pStyle w:val="ListParagraph"/>
        <w:rPr>
          <w:rFonts w:ascii="Arial" w:hAnsi="Arial" w:cs="Arial"/>
          <w:i/>
          <w:iCs/>
        </w:rPr>
      </w:pPr>
      <w:bookmarkStart w:id="0" w:name="_GoBack"/>
      <w:bookmarkEnd w:id="0"/>
    </w:p>
    <w:p w14:paraId="7CD3A232" w14:textId="108998A4" w:rsidR="00150DB7" w:rsidRPr="00150DB7" w:rsidRDefault="00150DB7" w:rsidP="00150DB7">
      <w:pPr>
        <w:numPr>
          <w:ilvl w:val="0"/>
          <w:numId w:val="2"/>
        </w:numPr>
        <w:spacing w:after="0" w:line="240" w:lineRule="auto"/>
        <w:jc w:val="both"/>
        <w:rPr>
          <w:rFonts w:ascii="Arial" w:eastAsia="Times New Roman" w:hAnsi="Arial" w:cs="Arial"/>
        </w:rPr>
      </w:pPr>
      <w:r w:rsidRPr="00150DB7">
        <w:rPr>
          <w:rFonts w:ascii="Arial" w:hAnsi="Arial" w:cs="Arial"/>
          <w:iCs/>
        </w:rPr>
        <w:t>The post holder may be required to support the division’s health protection function, including pandemic and emergency response.  They will contribute to the Public Health single-point-of-contact rota, which may require occasional weekend working should an incident escalate.</w:t>
      </w:r>
    </w:p>
    <w:p w14:paraId="24DACF96" w14:textId="77777777" w:rsidR="00150DB7" w:rsidRPr="007B44B4" w:rsidRDefault="00150DB7" w:rsidP="00150DB7">
      <w:pPr>
        <w:spacing w:after="0" w:line="240" w:lineRule="auto"/>
        <w:ind w:left="360"/>
        <w:jc w:val="both"/>
        <w:rPr>
          <w:rFonts w:ascii="Arial" w:eastAsia="Times New Roman" w:hAnsi="Arial" w:cs="Arial"/>
        </w:rPr>
      </w:pPr>
    </w:p>
    <w:p w14:paraId="2D9A44A4" w14:textId="36BDF9DB" w:rsidR="00494A4F" w:rsidRDefault="00494A4F" w:rsidP="00612E17">
      <w:pPr>
        <w:pStyle w:val="ListParagraph"/>
        <w:spacing w:after="0" w:line="240" w:lineRule="auto"/>
        <w:ind w:left="644"/>
        <w:jc w:val="both"/>
        <w:rPr>
          <w:rFonts w:ascii="Arial" w:eastAsia="Times New Roman" w:hAnsi="Arial" w:cs="Arial"/>
          <w:sz w:val="24"/>
          <w:szCs w:val="24"/>
          <w:lang w:eastAsia="en-GB"/>
        </w:rPr>
      </w:pPr>
    </w:p>
    <w:p w14:paraId="203DDCC3" w14:textId="77777777" w:rsidR="00450BB2" w:rsidRDefault="00450BB2" w:rsidP="008605FE">
      <w:pPr>
        <w:spacing w:after="0" w:line="240" w:lineRule="auto"/>
        <w:rPr>
          <w:rFonts w:ascii="Arial" w:eastAsia="Times New Roman" w:hAnsi="Arial" w:cs="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640"/>
      </w:tblGrid>
      <w:tr w:rsidR="00450BB2" w:rsidRPr="00484444" w14:paraId="5589C85E" w14:textId="77777777" w:rsidTr="007A0634">
        <w:trPr>
          <w:trHeight w:val="117"/>
        </w:trPr>
        <w:tc>
          <w:tcPr>
            <w:tcW w:w="9640" w:type="dxa"/>
            <w:shd w:val="clear" w:color="auto" w:fill="FFFFFF" w:themeFill="background1"/>
          </w:tcPr>
          <w:p w14:paraId="004AED99" w14:textId="77777777" w:rsidR="00450BB2" w:rsidRPr="00484444" w:rsidRDefault="00450BB2" w:rsidP="008605FE">
            <w:pPr>
              <w:keepNext/>
              <w:spacing w:before="120" w:after="0" w:line="240" w:lineRule="auto"/>
              <w:outlineLvl w:val="0"/>
              <w:rPr>
                <w:rFonts w:ascii="Arial" w:eastAsia="Times New Roman" w:hAnsi="Arial" w:cs="Times New Roman"/>
                <w:b/>
                <w:sz w:val="24"/>
                <w:szCs w:val="20"/>
              </w:rPr>
            </w:pPr>
            <w:r>
              <w:rPr>
                <w:rFonts w:ascii="Arial" w:eastAsia="Times New Roman" w:hAnsi="Arial" w:cs="Times New Roman"/>
                <w:b/>
                <w:sz w:val="24"/>
                <w:szCs w:val="20"/>
              </w:rPr>
              <w:t>JOB CONTEXT</w:t>
            </w:r>
          </w:p>
        </w:tc>
      </w:tr>
    </w:tbl>
    <w:p w14:paraId="21D8AA6C" w14:textId="77777777" w:rsidR="00450BB2" w:rsidRDefault="00450BB2" w:rsidP="008605FE">
      <w:pPr>
        <w:spacing w:after="0" w:line="240" w:lineRule="auto"/>
        <w:rPr>
          <w:rFonts w:ascii="Arial" w:eastAsia="Times New Roman" w:hAnsi="Arial" w:cs="Arial"/>
          <w:sz w:val="24"/>
          <w:szCs w:val="24"/>
          <w:lang w:eastAsia="en-GB"/>
        </w:rPr>
      </w:pPr>
    </w:p>
    <w:p w14:paraId="08102200" w14:textId="5331F4E1" w:rsidR="003804BA" w:rsidRPr="007B44B4" w:rsidRDefault="003804BA" w:rsidP="003804BA">
      <w:pPr>
        <w:pStyle w:val="Default"/>
        <w:rPr>
          <w:bCs/>
          <w:sz w:val="22"/>
          <w:szCs w:val="22"/>
        </w:rPr>
      </w:pPr>
      <w:r w:rsidRPr="007B44B4">
        <w:rPr>
          <w:bCs/>
          <w:sz w:val="22"/>
          <w:szCs w:val="22"/>
        </w:rPr>
        <w:t xml:space="preserve">The Public Health Division works to improve and protect the health and wellbeing of people living, working, learning and socialising in Southwark.  We collaborate with a wide range of partners to enable healthy choices, reduce health inequalities and ensure services are delivered effectively, fairly and sustainably. </w:t>
      </w:r>
    </w:p>
    <w:p w14:paraId="5F1B599D" w14:textId="77777777" w:rsidR="003804BA" w:rsidRPr="007B44B4" w:rsidRDefault="003804BA" w:rsidP="003804BA">
      <w:pPr>
        <w:pStyle w:val="Default"/>
        <w:rPr>
          <w:bCs/>
          <w:sz w:val="22"/>
          <w:szCs w:val="22"/>
        </w:rPr>
      </w:pPr>
    </w:p>
    <w:p w14:paraId="1BA3544F" w14:textId="7C1224D1" w:rsidR="003804BA" w:rsidRPr="007B44B4" w:rsidRDefault="003804BA" w:rsidP="003804BA">
      <w:pPr>
        <w:pStyle w:val="Default"/>
        <w:rPr>
          <w:sz w:val="22"/>
          <w:szCs w:val="22"/>
        </w:rPr>
      </w:pPr>
      <w:r w:rsidRPr="007B44B4">
        <w:rPr>
          <w:bCs/>
          <w:sz w:val="22"/>
          <w:szCs w:val="22"/>
        </w:rPr>
        <w:t>Public Health has three broad roles:</w:t>
      </w:r>
    </w:p>
    <w:p w14:paraId="63E61E82" w14:textId="1A0CFEA7" w:rsidR="003804BA" w:rsidRPr="007B44B4" w:rsidRDefault="003804BA" w:rsidP="007B44B4">
      <w:pPr>
        <w:pStyle w:val="Default"/>
        <w:numPr>
          <w:ilvl w:val="0"/>
          <w:numId w:val="5"/>
        </w:numPr>
        <w:rPr>
          <w:sz w:val="22"/>
          <w:szCs w:val="22"/>
        </w:rPr>
      </w:pPr>
      <w:r w:rsidRPr="007B44B4">
        <w:rPr>
          <w:sz w:val="22"/>
          <w:szCs w:val="22"/>
        </w:rPr>
        <w:t>We are responsible for commissioning or funding a range of services and initiatives aimed at improving health and wellbeing in the borough, including:</w:t>
      </w:r>
    </w:p>
    <w:p w14:paraId="0E2D49D4" w14:textId="4949D748" w:rsidR="003804BA" w:rsidRPr="007B44B4" w:rsidRDefault="003804BA" w:rsidP="007B44B4">
      <w:pPr>
        <w:pStyle w:val="Default"/>
        <w:numPr>
          <w:ilvl w:val="0"/>
          <w:numId w:val="4"/>
        </w:numPr>
        <w:spacing w:after="2"/>
        <w:ind w:left="993" w:hanging="284"/>
        <w:rPr>
          <w:sz w:val="22"/>
          <w:szCs w:val="22"/>
        </w:rPr>
      </w:pPr>
      <w:r w:rsidRPr="007B44B4">
        <w:rPr>
          <w:sz w:val="22"/>
          <w:szCs w:val="22"/>
        </w:rPr>
        <w:t>Sexual Health Services</w:t>
      </w:r>
    </w:p>
    <w:p w14:paraId="7A76135E" w14:textId="028EC46E" w:rsidR="003804BA" w:rsidRPr="007B44B4" w:rsidRDefault="003804BA" w:rsidP="007B44B4">
      <w:pPr>
        <w:pStyle w:val="Default"/>
        <w:numPr>
          <w:ilvl w:val="0"/>
          <w:numId w:val="4"/>
        </w:numPr>
        <w:spacing w:after="2"/>
        <w:ind w:left="993" w:hanging="284"/>
        <w:rPr>
          <w:sz w:val="22"/>
          <w:szCs w:val="22"/>
        </w:rPr>
      </w:pPr>
      <w:r w:rsidRPr="007B44B4">
        <w:rPr>
          <w:sz w:val="22"/>
          <w:szCs w:val="22"/>
        </w:rPr>
        <w:t>Health Visitors and School Nurses</w:t>
      </w:r>
    </w:p>
    <w:p w14:paraId="1ED1F6AF" w14:textId="6996B69D" w:rsidR="003804BA" w:rsidRPr="007B44B4" w:rsidRDefault="003804BA" w:rsidP="007B44B4">
      <w:pPr>
        <w:pStyle w:val="Default"/>
        <w:numPr>
          <w:ilvl w:val="0"/>
          <w:numId w:val="4"/>
        </w:numPr>
        <w:spacing w:after="2"/>
        <w:ind w:left="993" w:hanging="284"/>
        <w:rPr>
          <w:sz w:val="22"/>
          <w:szCs w:val="22"/>
        </w:rPr>
      </w:pPr>
      <w:r w:rsidRPr="007B44B4">
        <w:rPr>
          <w:sz w:val="22"/>
          <w:szCs w:val="22"/>
        </w:rPr>
        <w:t>Drug &amp; Alcohol Services</w:t>
      </w:r>
    </w:p>
    <w:p w14:paraId="77F16306" w14:textId="6F63CAA4" w:rsidR="003804BA" w:rsidRPr="007B44B4" w:rsidRDefault="003804BA" w:rsidP="007B44B4">
      <w:pPr>
        <w:pStyle w:val="Default"/>
        <w:numPr>
          <w:ilvl w:val="0"/>
          <w:numId w:val="4"/>
        </w:numPr>
        <w:spacing w:after="2"/>
        <w:ind w:left="993" w:hanging="284"/>
        <w:rPr>
          <w:sz w:val="22"/>
          <w:szCs w:val="22"/>
        </w:rPr>
      </w:pPr>
      <w:r w:rsidRPr="007B44B4">
        <w:rPr>
          <w:sz w:val="22"/>
          <w:szCs w:val="22"/>
        </w:rPr>
        <w:t>NHS Health Checks</w:t>
      </w:r>
    </w:p>
    <w:p w14:paraId="0270DA04" w14:textId="6A73829F" w:rsidR="003804BA" w:rsidRPr="007B44B4" w:rsidRDefault="003804BA" w:rsidP="007B44B4">
      <w:pPr>
        <w:pStyle w:val="Default"/>
        <w:numPr>
          <w:ilvl w:val="0"/>
          <w:numId w:val="4"/>
        </w:numPr>
        <w:ind w:left="993" w:hanging="284"/>
        <w:rPr>
          <w:sz w:val="22"/>
          <w:szCs w:val="22"/>
        </w:rPr>
      </w:pPr>
      <w:r w:rsidRPr="007B44B4">
        <w:rPr>
          <w:sz w:val="22"/>
          <w:szCs w:val="22"/>
        </w:rPr>
        <w:t>A range of other health improvement initiatives e.g. Free Healthy School</w:t>
      </w:r>
      <w:r w:rsidR="007B44B4">
        <w:rPr>
          <w:sz w:val="22"/>
          <w:szCs w:val="22"/>
        </w:rPr>
        <w:t xml:space="preserve"> </w:t>
      </w:r>
      <w:r w:rsidRPr="007B44B4">
        <w:rPr>
          <w:sz w:val="22"/>
          <w:szCs w:val="22"/>
        </w:rPr>
        <w:t>and Nursery Meals, exercise on referral and healthy weight initiatives</w:t>
      </w:r>
    </w:p>
    <w:p w14:paraId="3E68703E" w14:textId="77777777" w:rsidR="003804BA" w:rsidRPr="007B44B4" w:rsidRDefault="003804BA" w:rsidP="003804BA">
      <w:pPr>
        <w:pStyle w:val="Default"/>
        <w:ind w:left="993" w:hanging="284"/>
        <w:rPr>
          <w:sz w:val="22"/>
          <w:szCs w:val="22"/>
        </w:rPr>
      </w:pPr>
    </w:p>
    <w:p w14:paraId="47A6DB7C" w14:textId="48494B1E" w:rsidR="003804BA" w:rsidRPr="007B44B4" w:rsidRDefault="003804BA" w:rsidP="007B44B4">
      <w:pPr>
        <w:pStyle w:val="Default"/>
        <w:numPr>
          <w:ilvl w:val="0"/>
          <w:numId w:val="5"/>
        </w:numPr>
        <w:rPr>
          <w:sz w:val="22"/>
          <w:szCs w:val="22"/>
        </w:rPr>
      </w:pPr>
      <w:r w:rsidRPr="007B44B4">
        <w:rPr>
          <w:sz w:val="22"/>
          <w:szCs w:val="22"/>
        </w:rPr>
        <w:t>We also cover a large policy portfolio, providing strategic advice and guidance on matters relating to health and wellbeing, from suicide prevention through to sexual health, smoking cessation, immunisation and screening, health protection</w:t>
      </w:r>
      <w:r w:rsidR="007B44B4">
        <w:rPr>
          <w:sz w:val="22"/>
          <w:szCs w:val="22"/>
        </w:rPr>
        <w:t xml:space="preserve"> </w:t>
      </w:r>
      <w:r w:rsidRPr="007B44B4">
        <w:rPr>
          <w:sz w:val="22"/>
          <w:szCs w:val="22"/>
        </w:rPr>
        <w:t>and healthy places (regeneration, transport systems, urban planning, culture &amp; leisure).</w:t>
      </w:r>
    </w:p>
    <w:p w14:paraId="673EF02C" w14:textId="77777777" w:rsidR="003804BA" w:rsidRPr="007B44B4" w:rsidRDefault="003804BA" w:rsidP="003804BA">
      <w:pPr>
        <w:pStyle w:val="Default"/>
        <w:rPr>
          <w:sz w:val="22"/>
          <w:szCs w:val="22"/>
        </w:rPr>
      </w:pPr>
    </w:p>
    <w:p w14:paraId="7490B6CD" w14:textId="5060218C" w:rsidR="003804BA" w:rsidRPr="007B44B4" w:rsidRDefault="003804BA" w:rsidP="007B44B4">
      <w:pPr>
        <w:pStyle w:val="Default"/>
        <w:numPr>
          <w:ilvl w:val="0"/>
          <w:numId w:val="5"/>
        </w:numPr>
        <w:rPr>
          <w:sz w:val="22"/>
          <w:szCs w:val="22"/>
        </w:rPr>
      </w:pPr>
      <w:r w:rsidRPr="007B44B4">
        <w:rPr>
          <w:sz w:val="22"/>
          <w:szCs w:val="22"/>
        </w:rPr>
        <w:t>A key part of our work is to understand the health of people in Southwark, and how this changes over time. We have experts within the team who gather, analyse and interpret information that informs what we do; as well as influencing the decisions made by public health and our partners.</w:t>
      </w:r>
    </w:p>
    <w:p w14:paraId="443099E4" w14:textId="0F6046D2" w:rsidR="003804BA" w:rsidRPr="003804BA" w:rsidRDefault="003804BA" w:rsidP="003804BA">
      <w:pPr>
        <w:pStyle w:val="NormalWeb"/>
        <w:shd w:val="clear" w:color="auto" w:fill="FFFFFF"/>
        <w:rPr>
          <w:rFonts w:ascii="Arial" w:hAnsi="Arial" w:cs="Arial"/>
          <w:color w:val="000000"/>
          <w:sz w:val="22"/>
          <w:szCs w:val="22"/>
        </w:rPr>
      </w:pPr>
      <w:r w:rsidRPr="003804BA">
        <w:rPr>
          <w:rFonts w:ascii="Arial" w:hAnsi="Arial" w:cs="Arial"/>
          <w:color w:val="000000"/>
          <w:sz w:val="22"/>
          <w:szCs w:val="22"/>
        </w:rPr>
        <w:lastRenderedPageBreak/>
        <w:t>Within this context, our new business plan sets out six key priority areas that will guide the work of the Public Health Division in the medium term:</w:t>
      </w:r>
    </w:p>
    <w:p w14:paraId="178C9ED7" w14:textId="729EB424" w:rsidR="003804BA" w:rsidRPr="003804BA" w:rsidRDefault="003804BA" w:rsidP="007B44B4">
      <w:pPr>
        <w:pStyle w:val="NormalWeb"/>
        <w:numPr>
          <w:ilvl w:val="0"/>
          <w:numId w:val="3"/>
        </w:numPr>
        <w:shd w:val="clear" w:color="auto" w:fill="FFFFFF"/>
        <w:rPr>
          <w:rFonts w:ascii="Arial" w:hAnsi="Arial" w:cs="Arial"/>
          <w:color w:val="000000"/>
          <w:sz w:val="22"/>
          <w:szCs w:val="22"/>
        </w:rPr>
      </w:pPr>
      <w:r w:rsidRPr="003804BA">
        <w:rPr>
          <w:rFonts w:ascii="Arial" w:hAnsi="Arial" w:cs="Arial"/>
          <w:color w:val="000000"/>
          <w:sz w:val="22"/>
          <w:szCs w:val="22"/>
        </w:rPr>
        <w:t>COVID-19 response and prevention</w:t>
      </w:r>
    </w:p>
    <w:p w14:paraId="08B65DE0" w14:textId="2BB1F145" w:rsidR="003804BA" w:rsidRPr="003804BA" w:rsidRDefault="003804BA" w:rsidP="007B44B4">
      <w:pPr>
        <w:pStyle w:val="NormalWeb"/>
        <w:numPr>
          <w:ilvl w:val="0"/>
          <w:numId w:val="3"/>
        </w:numPr>
        <w:shd w:val="clear" w:color="auto" w:fill="FFFFFF"/>
        <w:rPr>
          <w:rFonts w:ascii="Arial" w:hAnsi="Arial" w:cs="Arial"/>
          <w:color w:val="000000"/>
          <w:sz w:val="22"/>
          <w:szCs w:val="22"/>
        </w:rPr>
      </w:pPr>
      <w:r w:rsidRPr="003804BA">
        <w:rPr>
          <w:rFonts w:ascii="Arial" w:hAnsi="Arial" w:cs="Arial"/>
          <w:color w:val="000000"/>
          <w:sz w:val="22"/>
          <w:szCs w:val="22"/>
        </w:rPr>
        <w:t>Tackling inequalities</w:t>
      </w:r>
    </w:p>
    <w:p w14:paraId="573BFD97" w14:textId="76B727B7" w:rsidR="003804BA" w:rsidRPr="003804BA" w:rsidRDefault="003804BA" w:rsidP="007B44B4">
      <w:pPr>
        <w:pStyle w:val="NormalWeb"/>
        <w:numPr>
          <w:ilvl w:val="0"/>
          <w:numId w:val="3"/>
        </w:numPr>
        <w:shd w:val="clear" w:color="auto" w:fill="FFFFFF"/>
        <w:rPr>
          <w:rFonts w:ascii="Arial" w:hAnsi="Arial" w:cs="Arial"/>
          <w:color w:val="000000"/>
          <w:sz w:val="22"/>
          <w:szCs w:val="22"/>
        </w:rPr>
      </w:pPr>
      <w:r w:rsidRPr="003804BA">
        <w:rPr>
          <w:rFonts w:ascii="Arial" w:hAnsi="Arial" w:cs="Arial"/>
          <w:color w:val="000000"/>
          <w:sz w:val="22"/>
          <w:szCs w:val="22"/>
        </w:rPr>
        <w:t>Building back fairer</w:t>
      </w:r>
    </w:p>
    <w:p w14:paraId="337C71EF" w14:textId="113929B0" w:rsidR="003804BA" w:rsidRPr="003804BA" w:rsidRDefault="003804BA" w:rsidP="007B44B4">
      <w:pPr>
        <w:pStyle w:val="NormalWeb"/>
        <w:numPr>
          <w:ilvl w:val="0"/>
          <w:numId w:val="3"/>
        </w:numPr>
        <w:shd w:val="clear" w:color="auto" w:fill="FFFFFF"/>
        <w:rPr>
          <w:rFonts w:ascii="Arial" w:hAnsi="Arial" w:cs="Arial"/>
          <w:color w:val="000000"/>
          <w:sz w:val="22"/>
          <w:szCs w:val="22"/>
        </w:rPr>
      </w:pPr>
      <w:r w:rsidRPr="003804BA">
        <w:rPr>
          <w:rFonts w:ascii="Arial" w:hAnsi="Arial" w:cs="Arial"/>
          <w:color w:val="000000"/>
          <w:sz w:val="22"/>
          <w:szCs w:val="22"/>
        </w:rPr>
        <w:t>Building strong relationships</w:t>
      </w:r>
    </w:p>
    <w:p w14:paraId="482B9CC4" w14:textId="7DA90361" w:rsidR="003804BA" w:rsidRPr="003804BA" w:rsidRDefault="003804BA" w:rsidP="007B44B4">
      <w:pPr>
        <w:pStyle w:val="NormalWeb"/>
        <w:numPr>
          <w:ilvl w:val="0"/>
          <w:numId w:val="3"/>
        </w:numPr>
        <w:shd w:val="clear" w:color="auto" w:fill="FFFFFF"/>
        <w:rPr>
          <w:rFonts w:ascii="Arial" w:hAnsi="Arial" w:cs="Arial"/>
          <w:color w:val="000000"/>
          <w:sz w:val="22"/>
          <w:szCs w:val="22"/>
        </w:rPr>
      </w:pPr>
      <w:r w:rsidRPr="003804BA">
        <w:rPr>
          <w:rFonts w:ascii="Arial" w:hAnsi="Arial" w:cs="Arial"/>
          <w:color w:val="000000"/>
          <w:sz w:val="22"/>
          <w:szCs w:val="22"/>
        </w:rPr>
        <w:t>Protecting the health of residents</w:t>
      </w:r>
    </w:p>
    <w:p w14:paraId="4C29D4DB" w14:textId="5E6371BE" w:rsidR="003804BA" w:rsidRPr="003804BA" w:rsidRDefault="003804BA" w:rsidP="007B44B4">
      <w:pPr>
        <w:pStyle w:val="NormalWeb"/>
        <w:numPr>
          <w:ilvl w:val="0"/>
          <w:numId w:val="3"/>
        </w:numPr>
        <w:shd w:val="clear" w:color="auto" w:fill="FFFFFF"/>
        <w:rPr>
          <w:rFonts w:ascii="Arial" w:hAnsi="Arial" w:cs="Arial"/>
          <w:color w:val="000000"/>
          <w:sz w:val="22"/>
          <w:szCs w:val="22"/>
        </w:rPr>
      </w:pPr>
      <w:r w:rsidRPr="003804BA">
        <w:rPr>
          <w:rFonts w:ascii="Arial" w:hAnsi="Arial" w:cs="Arial"/>
          <w:color w:val="000000"/>
          <w:sz w:val="22"/>
          <w:szCs w:val="22"/>
        </w:rPr>
        <w:t>Investing in our staff</w:t>
      </w:r>
    </w:p>
    <w:p w14:paraId="1AE00648" w14:textId="02DB5F9D" w:rsidR="003804BA" w:rsidRPr="007B44B4" w:rsidRDefault="003804BA" w:rsidP="003804BA">
      <w:pPr>
        <w:pStyle w:val="NormalWeb"/>
        <w:shd w:val="clear" w:color="auto" w:fill="FFFFFF"/>
        <w:rPr>
          <w:rFonts w:ascii="Arial" w:hAnsi="Arial" w:cs="Arial"/>
          <w:color w:val="000000"/>
          <w:sz w:val="22"/>
          <w:szCs w:val="22"/>
        </w:rPr>
      </w:pPr>
      <w:r w:rsidRPr="007B44B4">
        <w:rPr>
          <w:rFonts w:ascii="Arial" w:hAnsi="Arial" w:cs="Arial"/>
          <w:color w:val="000000"/>
          <w:sz w:val="22"/>
          <w:szCs w:val="22"/>
        </w:rPr>
        <w:t>Our priorities are informed by the Council vision of a Fairer Future for all residents, and each contribute to the eight commitments re-affirmed in November 2020.</w:t>
      </w:r>
    </w:p>
    <w:p w14:paraId="2E951A3A" w14:textId="03BEA32C" w:rsidR="00C35B29" w:rsidRPr="007B44B4" w:rsidRDefault="003804BA" w:rsidP="003804BA">
      <w:pPr>
        <w:autoSpaceDE w:val="0"/>
        <w:autoSpaceDN w:val="0"/>
        <w:adjustRightInd w:val="0"/>
        <w:spacing w:after="0" w:line="240" w:lineRule="auto"/>
        <w:rPr>
          <w:rFonts w:ascii="Arial" w:hAnsi="Arial" w:cs="Arial"/>
        </w:rPr>
      </w:pPr>
      <w:r w:rsidRPr="007B44B4">
        <w:rPr>
          <w:rFonts w:ascii="Arial" w:eastAsia="Times New Roman" w:hAnsi="Arial" w:cs="Arial"/>
          <w:color w:val="000000" w:themeColor="text1"/>
        </w:rPr>
        <w:t>The role of Public Health Policy Officer is</w:t>
      </w:r>
      <w:r w:rsidR="00C35B29" w:rsidRPr="007B44B4">
        <w:rPr>
          <w:rFonts w:ascii="Arial" w:eastAsia="Times New Roman" w:hAnsi="Arial" w:cs="Arial"/>
          <w:color w:val="000000" w:themeColor="text1"/>
        </w:rPr>
        <w:t xml:space="preserve"> responsible for leading on selected topic areas within the division and major pieces of work and projects, reporting to the responsible Head of Programme or Consultant in Public Health</w:t>
      </w:r>
      <w:r w:rsidRPr="007B44B4">
        <w:rPr>
          <w:rFonts w:ascii="Arial" w:hAnsi="Arial" w:cs="Arial"/>
        </w:rPr>
        <w:t xml:space="preserve">. </w:t>
      </w:r>
    </w:p>
    <w:p w14:paraId="391F3C3D" w14:textId="77777777" w:rsidR="00C35B29" w:rsidRPr="007B44B4" w:rsidRDefault="00C35B29" w:rsidP="00C35B29">
      <w:pPr>
        <w:autoSpaceDE w:val="0"/>
        <w:autoSpaceDN w:val="0"/>
        <w:adjustRightInd w:val="0"/>
        <w:spacing w:after="0" w:line="240" w:lineRule="auto"/>
        <w:rPr>
          <w:rFonts w:ascii="Arial" w:hAnsi="Arial" w:cs="Arial"/>
        </w:rPr>
      </w:pPr>
    </w:p>
    <w:p w14:paraId="37D1586E" w14:textId="07949264" w:rsidR="00450BB2" w:rsidRPr="008D766C" w:rsidRDefault="008D766C" w:rsidP="008605FE">
      <w:pPr>
        <w:spacing w:after="0" w:line="240" w:lineRule="auto"/>
        <w:rPr>
          <w:rFonts w:ascii="Arial" w:eastAsia="Times New Roman" w:hAnsi="Arial" w:cs="Arial"/>
          <w:lang w:eastAsia="en-GB"/>
        </w:rPr>
      </w:pPr>
      <w:r w:rsidRPr="008D766C">
        <w:rPr>
          <w:rFonts w:ascii="Arial" w:hAnsi="Arial" w:cs="Arial"/>
          <w:iCs/>
        </w:rPr>
        <w:t>The post holder may be required to support the division’s health protection function, including pandemic and emergency response.  They will contribute to the Public Health single-point-of-contact rota, which may require occasional weekend working should an incident escalate</w:t>
      </w:r>
    </w:p>
    <w:p w14:paraId="69BD2165" w14:textId="77777777" w:rsidR="003804BA" w:rsidRPr="007B44B4" w:rsidRDefault="003804BA" w:rsidP="00C35B29">
      <w:pPr>
        <w:spacing w:after="0" w:line="240" w:lineRule="auto"/>
        <w:rPr>
          <w:rFonts w:ascii="Arial" w:eastAsia="Times New Roman" w:hAnsi="Arial" w:cs="Arial"/>
          <w:lang w:eastAsia="en-GB"/>
        </w:rPr>
      </w:pPr>
    </w:p>
    <w:p w14:paraId="4CC20A91" w14:textId="5924FB6B" w:rsidR="007B44B4" w:rsidRDefault="00A30EB6" w:rsidP="00C35B29">
      <w:pPr>
        <w:spacing w:after="0" w:line="240" w:lineRule="auto"/>
        <w:rPr>
          <w:rFonts w:ascii="Arial" w:eastAsia="Times New Roman" w:hAnsi="Arial" w:cs="Arial"/>
          <w:lang w:eastAsia="en-GB"/>
        </w:rPr>
      </w:pPr>
      <w:r w:rsidRPr="007B44B4">
        <w:rPr>
          <w:rFonts w:ascii="Arial" w:eastAsia="Times New Roman" w:hAnsi="Arial" w:cs="Arial"/>
          <w:lang w:eastAsia="en-GB"/>
        </w:rPr>
        <w:t>Grade</w:t>
      </w:r>
      <w:r w:rsidR="007B44B4">
        <w:rPr>
          <w:rFonts w:ascii="Arial" w:eastAsia="Times New Roman" w:hAnsi="Arial" w:cs="Arial"/>
          <w:lang w:eastAsia="en-GB"/>
        </w:rPr>
        <w:t>: 11</w:t>
      </w:r>
    </w:p>
    <w:p w14:paraId="6B52C55C" w14:textId="77777777" w:rsidR="007B44B4" w:rsidRDefault="007B44B4" w:rsidP="00C35B29">
      <w:pPr>
        <w:spacing w:after="0" w:line="240" w:lineRule="auto"/>
        <w:rPr>
          <w:rFonts w:ascii="Arial" w:eastAsia="Times New Roman" w:hAnsi="Arial" w:cs="Arial"/>
          <w:lang w:eastAsia="en-GB"/>
        </w:rPr>
      </w:pPr>
    </w:p>
    <w:p w14:paraId="5EE6409B" w14:textId="5006690E" w:rsidR="00C35B29" w:rsidRPr="007B44B4" w:rsidRDefault="00A30EB6" w:rsidP="00C35B29">
      <w:pPr>
        <w:spacing w:after="0" w:line="240" w:lineRule="auto"/>
        <w:rPr>
          <w:rFonts w:ascii="Arial" w:eastAsia="Times New Roman" w:hAnsi="Arial" w:cs="Arial"/>
          <w:lang w:eastAsia="en-GB"/>
        </w:rPr>
      </w:pPr>
      <w:r w:rsidRPr="007B44B4">
        <w:rPr>
          <w:rFonts w:ascii="Arial" w:eastAsia="Times New Roman" w:hAnsi="Arial" w:cs="Arial"/>
          <w:lang w:eastAsia="en-GB"/>
        </w:rPr>
        <w:t>Conditions of Service</w:t>
      </w:r>
      <w:r w:rsidR="007B44B4">
        <w:rPr>
          <w:rFonts w:ascii="Arial" w:eastAsia="Times New Roman" w:hAnsi="Arial" w:cs="Arial"/>
          <w:lang w:eastAsia="en-GB"/>
        </w:rPr>
        <w:t>:</w:t>
      </w:r>
    </w:p>
    <w:p w14:paraId="58A01E94" w14:textId="0E90AA69" w:rsidR="00C35B29" w:rsidRPr="007B44B4" w:rsidRDefault="00A30EB6" w:rsidP="00C35B29">
      <w:pPr>
        <w:spacing w:after="0" w:line="240" w:lineRule="auto"/>
        <w:rPr>
          <w:rFonts w:ascii="Arial" w:eastAsia="Times New Roman" w:hAnsi="Arial" w:cs="Arial"/>
        </w:rPr>
      </w:pPr>
      <w:r w:rsidRPr="007B44B4">
        <w:rPr>
          <w:rFonts w:ascii="Arial" w:eastAsia="Times New Roman" w:hAnsi="Arial" w:cs="Arial"/>
          <w:lang w:eastAsia="en-GB"/>
        </w:rPr>
        <w:br/>
      </w:r>
      <w:r w:rsidR="00C35B29" w:rsidRPr="007B44B4">
        <w:rPr>
          <w:rFonts w:ascii="Arial" w:eastAsia="Times New Roman" w:hAnsi="Arial" w:cs="Arial"/>
        </w:rPr>
        <w:t>36 hours per week including some out of hours working when required.</w:t>
      </w:r>
    </w:p>
    <w:p w14:paraId="11C1EEF5" w14:textId="77777777" w:rsidR="00C35B29" w:rsidRPr="007B44B4" w:rsidRDefault="00C35B29" w:rsidP="00C35B29">
      <w:pPr>
        <w:spacing w:after="0" w:line="240" w:lineRule="auto"/>
        <w:rPr>
          <w:rFonts w:ascii="Arial" w:eastAsia="Times New Roman" w:hAnsi="Arial" w:cs="Arial"/>
        </w:rPr>
      </w:pPr>
    </w:p>
    <w:p w14:paraId="753A4AF3" w14:textId="585F39C1" w:rsidR="009A1752" w:rsidRPr="007B44B4" w:rsidRDefault="00C35B29" w:rsidP="00C35B29">
      <w:pPr>
        <w:jc w:val="both"/>
        <w:rPr>
          <w:rFonts w:ascii="Arial" w:hAnsi="Arial" w:cs="Arial"/>
        </w:rPr>
      </w:pPr>
      <w:r w:rsidRPr="007B44B4">
        <w:rPr>
          <w:rFonts w:ascii="Arial" w:hAnsi="Arial" w:cs="Arial"/>
        </w:rPr>
        <w:t>Expectation of working outside of normal working hours for example to attend Cabinet, Community Council or other stakeholder meetings</w:t>
      </w:r>
    </w:p>
    <w:p w14:paraId="585A480F" w14:textId="77777777" w:rsidR="00484444" w:rsidRPr="007B44B4" w:rsidRDefault="00484444" w:rsidP="008605FE">
      <w:pPr>
        <w:spacing w:after="0" w:line="240" w:lineRule="auto"/>
        <w:rPr>
          <w:rFonts w:ascii="Arial" w:eastAsia="Times New Roman" w:hAnsi="Arial" w:cs="Times New Roman"/>
        </w:rPr>
      </w:pPr>
    </w:p>
    <w:p w14:paraId="1A8B43FD" w14:textId="77777777" w:rsidR="00756DE3" w:rsidRPr="007B44B4" w:rsidRDefault="00756DE3" w:rsidP="008605F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lang w:eastAsia="en-GB"/>
        </w:rPr>
      </w:pPr>
      <w:r w:rsidRPr="007B44B4">
        <w:rPr>
          <w:rFonts w:ascii="Arial" w:eastAsia="Times New Roman" w:hAnsi="Arial" w:cs="Arial"/>
          <w:color w:val="000000"/>
          <w:lang w:eastAsia="en-GB"/>
        </w:rPr>
        <w:t>The employment is subject to a probationary period of twenty six weeks from your start date of employment with Southwark Council, during which time you will be required to demonstrate to the council’s satisfaction your suitability for the position in which you are employed.</w:t>
      </w:r>
    </w:p>
    <w:p w14:paraId="64BEB393" w14:textId="77777777" w:rsidR="003804BA" w:rsidRPr="00454402" w:rsidRDefault="00D50D43" w:rsidP="003804BA">
      <w:pPr>
        <w:jc w:val="center"/>
        <w:rPr>
          <w:rFonts w:ascii="Arial" w:eastAsia="Times New Roman" w:hAnsi="Arial" w:cs="Arial"/>
          <w:b/>
          <w:sz w:val="36"/>
          <w:szCs w:val="20"/>
        </w:rPr>
      </w:pPr>
      <w:r w:rsidRPr="007B44B4">
        <w:rPr>
          <w:rFonts w:ascii="Arial" w:eastAsia="Times New Roman" w:hAnsi="Arial" w:cs="Arial"/>
          <w:b/>
        </w:rPr>
        <w:br w:type="page"/>
      </w:r>
      <w:r w:rsidR="003804BA" w:rsidRPr="00454402">
        <w:rPr>
          <w:rFonts w:ascii="Arial" w:eastAsia="Times New Roman" w:hAnsi="Arial" w:cs="Arial"/>
          <w:b/>
          <w:sz w:val="36"/>
          <w:szCs w:val="20"/>
        </w:rPr>
        <w:lastRenderedPageBreak/>
        <w:t>PERSON SPECIFICATION</w:t>
      </w:r>
    </w:p>
    <w:p w14:paraId="02FBEC11" w14:textId="77777777" w:rsidR="003804BA" w:rsidRPr="007B44B4" w:rsidRDefault="003804BA" w:rsidP="003804BA">
      <w:pPr>
        <w:spacing w:after="0" w:line="240" w:lineRule="auto"/>
        <w:jc w:val="both"/>
        <w:rPr>
          <w:rFonts w:ascii="Arial" w:eastAsia="Times New Roman" w:hAnsi="Arial" w:cs="Arial"/>
        </w:rPr>
      </w:pPr>
      <w:r w:rsidRPr="007B44B4">
        <w:rPr>
          <w:rFonts w:ascii="Arial" w:eastAsia="Times New Roman" w:hAnsi="Arial" w:cs="Arial"/>
          <w:color w:val="000000"/>
          <w:lang w:val="en-US"/>
        </w:rPr>
        <w:t xml:space="preserve">The person specification is a picture of the essential skills, knowledge and experience required to carry out the job.  </w:t>
      </w:r>
    </w:p>
    <w:p w14:paraId="159BFD9A" w14:textId="77777777" w:rsidR="003804BA" w:rsidRPr="007B44B4" w:rsidRDefault="003804BA" w:rsidP="003804BA">
      <w:pPr>
        <w:tabs>
          <w:tab w:val="num" w:pos="720"/>
        </w:tabs>
        <w:spacing w:after="0" w:line="240" w:lineRule="auto"/>
        <w:jc w:val="center"/>
        <w:rPr>
          <w:rFonts w:ascii="Arial" w:eastAsia="Times New Roman" w:hAnsi="Arial" w:cs="Arial"/>
        </w:rPr>
      </w:pPr>
    </w:p>
    <w:tbl>
      <w:tblPr>
        <w:tblStyle w:val="Jobtemplate"/>
        <w:tblW w:w="9209" w:type="dxa"/>
        <w:tblLook w:val="00A0" w:firstRow="1" w:lastRow="0" w:firstColumn="1" w:lastColumn="0" w:noHBand="0" w:noVBand="0"/>
      </w:tblPr>
      <w:tblGrid>
        <w:gridCol w:w="7912"/>
        <w:gridCol w:w="1297"/>
      </w:tblGrid>
      <w:tr w:rsidR="003804BA" w:rsidRPr="007B44B4" w14:paraId="2CFB8C6E" w14:textId="77777777" w:rsidTr="00631744">
        <w:tc>
          <w:tcPr>
            <w:tcW w:w="7912" w:type="dxa"/>
          </w:tcPr>
          <w:p w14:paraId="1C5CC3FB" w14:textId="77777777" w:rsidR="003804BA" w:rsidRPr="007B44B4" w:rsidRDefault="003804BA" w:rsidP="00631744">
            <w:pPr>
              <w:tabs>
                <w:tab w:val="num" w:pos="720"/>
              </w:tabs>
              <w:ind w:left="720" w:hanging="720"/>
              <w:rPr>
                <w:rFonts w:cs="Arial"/>
                <w:b/>
                <w:sz w:val="22"/>
                <w:szCs w:val="22"/>
              </w:rPr>
            </w:pPr>
          </w:p>
          <w:p w14:paraId="2DD74628" w14:textId="77777777" w:rsidR="003804BA" w:rsidRPr="007B44B4" w:rsidRDefault="003804BA" w:rsidP="00631744">
            <w:pPr>
              <w:tabs>
                <w:tab w:val="num" w:pos="720"/>
              </w:tabs>
              <w:ind w:left="720" w:hanging="720"/>
              <w:rPr>
                <w:rFonts w:cs="Arial"/>
                <w:b/>
                <w:sz w:val="22"/>
                <w:szCs w:val="22"/>
              </w:rPr>
            </w:pPr>
          </w:p>
          <w:p w14:paraId="36AB3B6E" w14:textId="77777777" w:rsidR="003804BA" w:rsidRPr="007B44B4" w:rsidRDefault="003804BA" w:rsidP="00631744">
            <w:pPr>
              <w:tabs>
                <w:tab w:val="num" w:pos="720"/>
              </w:tabs>
              <w:rPr>
                <w:rFonts w:cs="Arial"/>
                <w:b/>
                <w:sz w:val="22"/>
                <w:szCs w:val="22"/>
              </w:rPr>
            </w:pPr>
            <w:r w:rsidRPr="007B44B4">
              <w:rPr>
                <w:rFonts w:cs="Arial"/>
                <w:b/>
                <w:sz w:val="22"/>
                <w:szCs w:val="22"/>
              </w:rPr>
              <w:t>Knowledge, including educational qualifications:</w:t>
            </w:r>
          </w:p>
        </w:tc>
        <w:tc>
          <w:tcPr>
            <w:tcW w:w="1297" w:type="dxa"/>
            <w:shd w:val="clear" w:color="auto" w:fill="auto"/>
          </w:tcPr>
          <w:p w14:paraId="6213CF10" w14:textId="77777777" w:rsidR="003804BA" w:rsidRPr="007B44B4" w:rsidRDefault="003804BA" w:rsidP="00631744">
            <w:pPr>
              <w:tabs>
                <w:tab w:val="num" w:pos="720"/>
              </w:tabs>
              <w:jc w:val="center"/>
              <w:rPr>
                <w:rFonts w:cs="Arial"/>
                <w:b/>
                <w:sz w:val="22"/>
                <w:szCs w:val="22"/>
              </w:rPr>
            </w:pPr>
            <w:r w:rsidRPr="007B44B4">
              <w:rPr>
                <w:rFonts w:cs="Arial"/>
                <w:b/>
                <w:sz w:val="22"/>
                <w:szCs w:val="22"/>
              </w:rPr>
              <w:t>How assessed (S/ I/ T)</w:t>
            </w:r>
          </w:p>
        </w:tc>
      </w:tr>
      <w:tr w:rsidR="003804BA" w:rsidRPr="007B44B4" w14:paraId="3D3F80F9" w14:textId="77777777" w:rsidTr="00631744">
        <w:tc>
          <w:tcPr>
            <w:tcW w:w="7912" w:type="dxa"/>
            <w:vAlign w:val="center"/>
          </w:tcPr>
          <w:p w14:paraId="494715DA" w14:textId="77777777" w:rsidR="003804BA" w:rsidRPr="007B44B4" w:rsidRDefault="003804BA" w:rsidP="00631744">
            <w:pPr>
              <w:pStyle w:val="PlainText"/>
              <w:jc w:val="both"/>
              <w:rPr>
                <w:rFonts w:ascii="Arial" w:hAnsi="Arial" w:cs="Arial"/>
                <w:b/>
                <w:sz w:val="22"/>
                <w:szCs w:val="22"/>
              </w:rPr>
            </w:pPr>
            <w:r w:rsidRPr="007B44B4">
              <w:rPr>
                <w:rFonts w:ascii="Arial" w:hAnsi="Arial" w:cs="Arial"/>
                <w:sz w:val="22"/>
                <w:szCs w:val="22"/>
              </w:rPr>
              <w:t xml:space="preserve">Educated in </w:t>
            </w:r>
            <w:r w:rsidRPr="007B44B4">
              <w:rPr>
                <w:rFonts w:ascii="Arial" w:hAnsi="Arial" w:cs="Arial"/>
                <w:sz w:val="22"/>
                <w:szCs w:val="22"/>
                <w:lang w:val="en"/>
              </w:rPr>
              <w:t>a suitable postgraduate qualification in public health, health or equivalent</w:t>
            </w:r>
            <w:r w:rsidRPr="007B44B4">
              <w:rPr>
                <w:rFonts w:ascii="Arial" w:hAnsi="Arial" w:cs="Arial"/>
                <w:sz w:val="22"/>
                <w:szCs w:val="22"/>
              </w:rPr>
              <w:t xml:space="preserve">. </w:t>
            </w:r>
            <w:r w:rsidRPr="007B44B4">
              <w:rPr>
                <w:rFonts w:ascii="Arial" w:hAnsi="Arial" w:cs="Arial"/>
                <w:b/>
                <w:sz w:val="22"/>
                <w:szCs w:val="22"/>
              </w:rPr>
              <w:t xml:space="preserve"> </w:t>
            </w:r>
          </w:p>
          <w:p w14:paraId="471E2762" w14:textId="77777777" w:rsidR="003804BA" w:rsidRPr="007B44B4" w:rsidRDefault="003804BA" w:rsidP="00631744">
            <w:pPr>
              <w:pStyle w:val="PlainText"/>
              <w:jc w:val="both"/>
              <w:rPr>
                <w:rFonts w:ascii="Arial" w:hAnsi="Arial" w:cs="Arial"/>
                <w:sz w:val="22"/>
                <w:szCs w:val="22"/>
              </w:rPr>
            </w:pPr>
          </w:p>
        </w:tc>
        <w:tc>
          <w:tcPr>
            <w:tcW w:w="1297" w:type="dxa"/>
            <w:shd w:val="clear" w:color="auto" w:fill="auto"/>
            <w:vAlign w:val="center"/>
          </w:tcPr>
          <w:p w14:paraId="6AD9B69C" w14:textId="77777777" w:rsidR="003804BA" w:rsidRPr="007B44B4" w:rsidRDefault="003804BA" w:rsidP="00631744">
            <w:pPr>
              <w:tabs>
                <w:tab w:val="num" w:pos="720"/>
              </w:tabs>
              <w:jc w:val="center"/>
              <w:rPr>
                <w:rFonts w:cs="Arial"/>
                <w:sz w:val="22"/>
                <w:szCs w:val="22"/>
              </w:rPr>
            </w:pPr>
            <w:r w:rsidRPr="007B44B4">
              <w:rPr>
                <w:rFonts w:cs="Arial"/>
                <w:sz w:val="22"/>
                <w:szCs w:val="22"/>
              </w:rPr>
              <w:t>S</w:t>
            </w:r>
          </w:p>
        </w:tc>
      </w:tr>
      <w:tr w:rsidR="003804BA" w:rsidRPr="007B44B4" w14:paraId="361AE21C" w14:textId="77777777" w:rsidTr="00631744">
        <w:tc>
          <w:tcPr>
            <w:tcW w:w="7912" w:type="dxa"/>
            <w:vAlign w:val="center"/>
          </w:tcPr>
          <w:p w14:paraId="4843A580"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t xml:space="preserve">An understanding of health services, social care and health protection. </w:t>
            </w:r>
          </w:p>
          <w:p w14:paraId="6630FF8E" w14:textId="77777777" w:rsidR="003804BA" w:rsidRPr="007B44B4" w:rsidRDefault="003804BA" w:rsidP="00631744">
            <w:pPr>
              <w:pStyle w:val="PlainText"/>
              <w:jc w:val="both"/>
              <w:rPr>
                <w:rFonts w:ascii="Arial" w:hAnsi="Arial" w:cs="Arial"/>
                <w:sz w:val="22"/>
                <w:szCs w:val="22"/>
              </w:rPr>
            </w:pPr>
          </w:p>
        </w:tc>
        <w:tc>
          <w:tcPr>
            <w:tcW w:w="1297" w:type="dxa"/>
            <w:shd w:val="clear" w:color="auto" w:fill="auto"/>
            <w:vAlign w:val="center"/>
          </w:tcPr>
          <w:p w14:paraId="00C8E58C" w14:textId="77777777" w:rsidR="003804BA" w:rsidRPr="007B44B4" w:rsidRDefault="003804BA" w:rsidP="00631744">
            <w:pPr>
              <w:tabs>
                <w:tab w:val="num" w:pos="720"/>
              </w:tabs>
              <w:jc w:val="center"/>
              <w:rPr>
                <w:rFonts w:cs="Arial"/>
                <w:sz w:val="22"/>
                <w:szCs w:val="22"/>
              </w:rPr>
            </w:pPr>
            <w:r w:rsidRPr="007B44B4">
              <w:rPr>
                <w:rFonts w:cs="Arial"/>
                <w:sz w:val="22"/>
                <w:szCs w:val="22"/>
              </w:rPr>
              <w:t>S</w:t>
            </w:r>
          </w:p>
        </w:tc>
      </w:tr>
      <w:tr w:rsidR="003804BA" w:rsidRPr="007B44B4" w14:paraId="1F34A7D6" w14:textId="77777777" w:rsidTr="00631744">
        <w:tc>
          <w:tcPr>
            <w:tcW w:w="7912" w:type="dxa"/>
            <w:vAlign w:val="center"/>
          </w:tcPr>
          <w:p w14:paraId="40611321" w14:textId="77777777" w:rsidR="003804BA" w:rsidRPr="007B44B4" w:rsidRDefault="003804BA" w:rsidP="00631744">
            <w:pPr>
              <w:tabs>
                <w:tab w:val="num" w:pos="720"/>
              </w:tabs>
              <w:rPr>
                <w:rFonts w:cs="Arial"/>
                <w:sz w:val="22"/>
                <w:szCs w:val="22"/>
              </w:rPr>
            </w:pPr>
            <w:r w:rsidRPr="007B44B4">
              <w:rPr>
                <w:rFonts w:cs="Arial"/>
                <w:sz w:val="22"/>
                <w:szCs w:val="22"/>
              </w:rPr>
              <w:t xml:space="preserve">An understanding of Council commissioning, demonstrated by an ability to describe the complexities of the commissioning cycle and public health’s role within this. </w:t>
            </w:r>
          </w:p>
          <w:p w14:paraId="6727BED0" w14:textId="77777777" w:rsidR="003804BA" w:rsidRPr="007B44B4" w:rsidRDefault="003804BA" w:rsidP="00631744">
            <w:pPr>
              <w:tabs>
                <w:tab w:val="num" w:pos="720"/>
              </w:tabs>
              <w:rPr>
                <w:rFonts w:cs="Arial"/>
                <w:sz w:val="22"/>
                <w:szCs w:val="22"/>
              </w:rPr>
            </w:pPr>
          </w:p>
        </w:tc>
        <w:tc>
          <w:tcPr>
            <w:tcW w:w="1297" w:type="dxa"/>
            <w:shd w:val="clear" w:color="auto" w:fill="auto"/>
            <w:vAlign w:val="center"/>
          </w:tcPr>
          <w:p w14:paraId="7AD02BFE" w14:textId="77777777" w:rsidR="003804BA" w:rsidRPr="007B44B4" w:rsidRDefault="003804BA" w:rsidP="00631744">
            <w:pPr>
              <w:tabs>
                <w:tab w:val="num" w:pos="720"/>
              </w:tabs>
              <w:jc w:val="center"/>
              <w:rPr>
                <w:rFonts w:cs="Arial"/>
                <w:sz w:val="22"/>
                <w:szCs w:val="22"/>
              </w:rPr>
            </w:pPr>
            <w:r w:rsidRPr="007B44B4">
              <w:rPr>
                <w:rFonts w:cs="Arial"/>
                <w:sz w:val="22"/>
                <w:szCs w:val="22"/>
              </w:rPr>
              <w:t>I</w:t>
            </w:r>
          </w:p>
        </w:tc>
      </w:tr>
      <w:tr w:rsidR="003804BA" w:rsidRPr="007B44B4" w14:paraId="486827DD" w14:textId="77777777" w:rsidTr="00631744">
        <w:tc>
          <w:tcPr>
            <w:tcW w:w="7912" w:type="dxa"/>
            <w:vAlign w:val="center"/>
          </w:tcPr>
          <w:p w14:paraId="42177A42"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t>Awareness of staff management in accordance with corporate policies, demonstrated by an understanding of human resources policies and management strategies.</w:t>
            </w:r>
          </w:p>
          <w:p w14:paraId="19BA14B0" w14:textId="77777777" w:rsidR="003804BA" w:rsidRPr="007B44B4" w:rsidRDefault="003804BA" w:rsidP="00631744">
            <w:pPr>
              <w:pStyle w:val="PlainText"/>
              <w:jc w:val="both"/>
              <w:rPr>
                <w:rFonts w:ascii="Arial" w:hAnsi="Arial" w:cs="Arial"/>
                <w:sz w:val="22"/>
                <w:szCs w:val="22"/>
              </w:rPr>
            </w:pPr>
          </w:p>
        </w:tc>
        <w:tc>
          <w:tcPr>
            <w:tcW w:w="1297" w:type="dxa"/>
            <w:shd w:val="clear" w:color="auto" w:fill="auto"/>
            <w:vAlign w:val="center"/>
          </w:tcPr>
          <w:p w14:paraId="12B86E32" w14:textId="77777777" w:rsidR="003804BA" w:rsidRPr="007B44B4" w:rsidRDefault="003804BA" w:rsidP="00631744">
            <w:pPr>
              <w:tabs>
                <w:tab w:val="num" w:pos="720"/>
              </w:tabs>
              <w:jc w:val="center"/>
              <w:rPr>
                <w:rFonts w:cs="Arial"/>
                <w:sz w:val="22"/>
                <w:szCs w:val="22"/>
              </w:rPr>
            </w:pPr>
            <w:r w:rsidRPr="007B44B4">
              <w:rPr>
                <w:rFonts w:cs="Arial"/>
                <w:sz w:val="22"/>
                <w:szCs w:val="22"/>
              </w:rPr>
              <w:t>I</w:t>
            </w:r>
          </w:p>
        </w:tc>
      </w:tr>
      <w:tr w:rsidR="003804BA" w:rsidRPr="007B44B4" w14:paraId="5FB22DB2" w14:textId="77777777" w:rsidTr="00631744">
        <w:tc>
          <w:tcPr>
            <w:tcW w:w="7912" w:type="dxa"/>
            <w:vAlign w:val="center"/>
          </w:tcPr>
          <w:p w14:paraId="5ECE2FDC"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t xml:space="preserve">An understanding of the health protection function of local authorities </w:t>
            </w:r>
          </w:p>
          <w:p w14:paraId="270EFE50" w14:textId="77777777" w:rsidR="003804BA" w:rsidRPr="007B44B4" w:rsidRDefault="003804BA" w:rsidP="00631744">
            <w:pPr>
              <w:pStyle w:val="PlainText"/>
              <w:jc w:val="both"/>
              <w:rPr>
                <w:rFonts w:ascii="Arial" w:hAnsi="Arial" w:cs="Arial"/>
                <w:sz w:val="22"/>
                <w:szCs w:val="22"/>
              </w:rPr>
            </w:pPr>
          </w:p>
        </w:tc>
        <w:tc>
          <w:tcPr>
            <w:tcW w:w="1297" w:type="dxa"/>
            <w:shd w:val="clear" w:color="auto" w:fill="auto"/>
            <w:vAlign w:val="center"/>
          </w:tcPr>
          <w:p w14:paraId="053F126A" w14:textId="77777777" w:rsidR="003804BA" w:rsidRPr="007B44B4" w:rsidRDefault="003804BA" w:rsidP="00631744">
            <w:pPr>
              <w:tabs>
                <w:tab w:val="num" w:pos="720"/>
              </w:tabs>
              <w:jc w:val="center"/>
              <w:rPr>
                <w:rFonts w:cs="Arial"/>
                <w:sz w:val="22"/>
                <w:szCs w:val="22"/>
              </w:rPr>
            </w:pPr>
            <w:r w:rsidRPr="007B44B4">
              <w:rPr>
                <w:rFonts w:cs="Arial"/>
                <w:sz w:val="22"/>
                <w:szCs w:val="22"/>
              </w:rPr>
              <w:t>I</w:t>
            </w:r>
          </w:p>
        </w:tc>
      </w:tr>
      <w:tr w:rsidR="003804BA" w:rsidRPr="007B44B4" w14:paraId="65E610A0" w14:textId="77777777" w:rsidTr="00631744">
        <w:tc>
          <w:tcPr>
            <w:tcW w:w="9209" w:type="dxa"/>
            <w:gridSpan w:val="2"/>
          </w:tcPr>
          <w:p w14:paraId="518FE08D" w14:textId="77777777" w:rsidR="003804BA" w:rsidRPr="007B44B4" w:rsidRDefault="003804BA" w:rsidP="00631744">
            <w:pPr>
              <w:tabs>
                <w:tab w:val="num" w:pos="720"/>
              </w:tabs>
              <w:ind w:left="720" w:hanging="720"/>
              <w:rPr>
                <w:rFonts w:cs="Arial"/>
                <w:b/>
                <w:sz w:val="22"/>
                <w:szCs w:val="22"/>
              </w:rPr>
            </w:pPr>
          </w:p>
          <w:p w14:paraId="17A667BA" w14:textId="77777777" w:rsidR="003804BA" w:rsidRPr="007B44B4" w:rsidRDefault="003804BA" w:rsidP="00631744">
            <w:pPr>
              <w:tabs>
                <w:tab w:val="num" w:pos="720"/>
              </w:tabs>
              <w:rPr>
                <w:rFonts w:cs="Arial"/>
                <w:b/>
                <w:sz w:val="22"/>
                <w:szCs w:val="22"/>
              </w:rPr>
            </w:pPr>
            <w:r w:rsidRPr="007B44B4">
              <w:rPr>
                <w:rFonts w:cs="Arial"/>
                <w:b/>
                <w:sz w:val="22"/>
                <w:szCs w:val="22"/>
              </w:rPr>
              <w:t>Experience:</w:t>
            </w:r>
          </w:p>
        </w:tc>
      </w:tr>
      <w:tr w:rsidR="003804BA" w:rsidRPr="007B44B4" w14:paraId="2DA02E02" w14:textId="77777777" w:rsidTr="00631744">
        <w:tc>
          <w:tcPr>
            <w:tcW w:w="7912" w:type="dxa"/>
            <w:vAlign w:val="center"/>
          </w:tcPr>
          <w:p w14:paraId="4618C3F5" w14:textId="77777777" w:rsidR="003804BA" w:rsidRPr="007B44B4" w:rsidRDefault="003804BA" w:rsidP="00631744">
            <w:pPr>
              <w:pStyle w:val="List"/>
              <w:spacing w:before="0"/>
              <w:ind w:left="0" w:firstLine="0"/>
              <w:jc w:val="both"/>
              <w:rPr>
                <w:rFonts w:ascii="Arial" w:hAnsi="Arial" w:cs="Arial"/>
                <w:sz w:val="22"/>
                <w:szCs w:val="22"/>
              </w:rPr>
            </w:pPr>
            <w:r w:rsidRPr="007B44B4">
              <w:rPr>
                <w:rFonts w:ascii="Arial" w:hAnsi="Arial" w:cs="Arial"/>
                <w:sz w:val="22"/>
                <w:szCs w:val="22"/>
              </w:rPr>
              <w:t xml:space="preserve">Experience of undertaking evaluations to effectively measure the outcome and benefit of public health interventions. </w:t>
            </w:r>
          </w:p>
          <w:p w14:paraId="3F22752E" w14:textId="77777777" w:rsidR="003804BA" w:rsidRPr="007B44B4" w:rsidRDefault="003804BA" w:rsidP="00631744">
            <w:pPr>
              <w:pStyle w:val="List"/>
              <w:spacing w:before="0"/>
              <w:ind w:left="0" w:firstLine="0"/>
              <w:jc w:val="both"/>
              <w:rPr>
                <w:rFonts w:ascii="Arial" w:hAnsi="Arial" w:cs="Arial"/>
                <w:sz w:val="22"/>
                <w:szCs w:val="22"/>
              </w:rPr>
            </w:pPr>
          </w:p>
        </w:tc>
        <w:tc>
          <w:tcPr>
            <w:tcW w:w="1297" w:type="dxa"/>
            <w:vAlign w:val="center"/>
          </w:tcPr>
          <w:p w14:paraId="27F6441F" w14:textId="77777777" w:rsidR="003804BA" w:rsidRPr="007B44B4" w:rsidRDefault="003804BA" w:rsidP="00631744">
            <w:pPr>
              <w:tabs>
                <w:tab w:val="num" w:pos="720"/>
              </w:tabs>
              <w:jc w:val="center"/>
              <w:rPr>
                <w:rFonts w:cs="Arial"/>
                <w:sz w:val="22"/>
                <w:szCs w:val="22"/>
              </w:rPr>
            </w:pPr>
            <w:r w:rsidRPr="007B44B4">
              <w:rPr>
                <w:rFonts w:cs="Arial"/>
                <w:sz w:val="22"/>
                <w:szCs w:val="22"/>
              </w:rPr>
              <w:t>S</w:t>
            </w:r>
          </w:p>
        </w:tc>
      </w:tr>
      <w:tr w:rsidR="003804BA" w:rsidRPr="007B44B4" w14:paraId="723727B3" w14:textId="77777777" w:rsidTr="00631744">
        <w:tc>
          <w:tcPr>
            <w:tcW w:w="7912" w:type="dxa"/>
            <w:vAlign w:val="center"/>
          </w:tcPr>
          <w:p w14:paraId="7511C6E9"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t>Proven experience of conducting health needs assessment through the collation, analysis and interpretation of key public health data, information and evidence.</w:t>
            </w:r>
          </w:p>
          <w:p w14:paraId="4608BDB9" w14:textId="77777777" w:rsidR="003804BA" w:rsidRPr="007B44B4" w:rsidRDefault="003804BA" w:rsidP="00631744">
            <w:pPr>
              <w:pStyle w:val="PlainText"/>
              <w:jc w:val="both"/>
              <w:rPr>
                <w:rFonts w:ascii="Arial" w:hAnsi="Arial" w:cs="Arial"/>
                <w:sz w:val="22"/>
                <w:szCs w:val="22"/>
              </w:rPr>
            </w:pPr>
          </w:p>
        </w:tc>
        <w:tc>
          <w:tcPr>
            <w:tcW w:w="1297" w:type="dxa"/>
            <w:vAlign w:val="center"/>
          </w:tcPr>
          <w:p w14:paraId="58633D65" w14:textId="77777777" w:rsidR="003804BA" w:rsidRPr="007B44B4" w:rsidRDefault="003804BA" w:rsidP="00631744">
            <w:pPr>
              <w:tabs>
                <w:tab w:val="num" w:pos="720"/>
              </w:tabs>
              <w:jc w:val="center"/>
              <w:rPr>
                <w:rFonts w:cs="Arial"/>
                <w:sz w:val="22"/>
                <w:szCs w:val="22"/>
              </w:rPr>
            </w:pPr>
            <w:r w:rsidRPr="007B44B4">
              <w:rPr>
                <w:rFonts w:cs="Arial"/>
                <w:sz w:val="22"/>
                <w:szCs w:val="22"/>
              </w:rPr>
              <w:t>I</w:t>
            </w:r>
          </w:p>
        </w:tc>
      </w:tr>
      <w:tr w:rsidR="003804BA" w:rsidRPr="007B44B4" w14:paraId="72F27A51" w14:textId="77777777" w:rsidTr="00631744">
        <w:tc>
          <w:tcPr>
            <w:tcW w:w="7912" w:type="dxa"/>
            <w:vAlign w:val="center"/>
          </w:tcPr>
          <w:p w14:paraId="48FB0054"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t xml:space="preserve">Proven experience of using project management skills and knowledge of public health methodology to develop, implement and assess policies, programmes and strategies to improve health and wellbeing and/or address health inequalities. </w:t>
            </w:r>
          </w:p>
          <w:p w14:paraId="60486B8F" w14:textId="77777777" w:rsidR="003804BA" w:rsidRPr="007B44B4" w:rsidRDefault="003804BA" w:rsidP="00631744">
            <w:pPr>
              <w:pStyle w:val="PlainText"/>
              <w:jc w:val="both"/>
              <w:rPr>
                <w:rFonts w:ascii="Arial" w:hAnsi="Arial" w:cs="Arial"/>
                <w:sz w:val="22"/>
                <w:szCs w:val="22"/>
              </w:rPr>
            </w:pPr>
          </w:p>
        </w:tc>
        <w:tc>
          <w:tcPr>
            <w:tcW w:w="1297" w:type="dxa"/>
            <w:vAlign w:val="center"/>
          </w:tcPr>
          <w:p w14:paraId="55532D02" w14:textId="77777777" w:rsidR="003804BA" w:rsidRPr="007B44B4" w:rsidRDefault="003804BA" w:rsidP="00631744">
            <w:pPr>
              <w:tabs>
                <w:tab w:val="num" w:pos="720"/>
              </w:tabs>
              <w:jc w:val="center"/>
              <w:rPr>
                <w:rFonts w:cs="Arial"/>
                <w:sz w:val="22"/>
                <w:szCs w:val="22"/>
              </w:rPr>
            </w:pPr>
            <w:r w:rsidRPr="007B44B4">
              <w:rPr>
                <w:rFonts w:cs="Arial"/>
                <w:sz w:val="22"/>
                <w:szCs w:val="22"/>
              </w:rPr>
              <w:t>S/I</w:t>
            </w:r>
          </w:p>
        </w:tc>
      </w:tr>
      <w:tr w:rsidR="003804BA" w:rsidRPr="007B44B4" w14:paraId="1238133E" w14:textId="77777777" w:rsidTr="00631744">
        <w:tc>
          <w:tcPr>
            <w:tcW w:w="9209" w:type="dxa"/>
            <w:gridSpan w:val="2"/>
          </w:tcPr>
          <w:p w14:paraId="5B4B7866" w14:textId="77777777" w:rsidR="003804BA" w:rsidRPr="007B44B4" w:rsidRDefault="003804BA" w:rsidP="00631744">
            <w:pPr>
              <w:tabs>
                <w:tab w:val="num" w:pos="720"/>
              </w:tabs>
              <w:ind w:left="720" w:hanging="720"/>
              <w:rPr>
                <w:rFonts w:cs="Arial"/>
                <w:b/>
                <w:sz w:val="22"/>
                <w:szCs w:val="22"/>
              </w:rPr>
            </w:pPr>
          </w:p>
          <w:p w14:paraId="7956CE5F" w14:textId="77777777" w:rsidR="003804BA" w:rsidRPr="007B44B4" w:rsidRDefault="003804BA" w:rsidP="00631744">
            <w:pPr>
              <w:tabs>
                <w:tab w:val="num" w:pos="720"/>
              </w:tabs>
              <w:rPr>
                <w:rFonts w:cs="Arial"/>
                <w:b/>
                <w:sz w:val="22"/>
                <w:szCs w:val="22"/>
              </w:rPr>
            </w:pPr>
            <w:r w:rsidRPr="007B44B4">
              <w:rPr>
                <w:rFonts w:cs="Arial"/>
                <w:b/>
                <w:sz w:val="22"/>
                <w:szCs w:val="22"/>
              </w:rPr>
              <w:t>Aptitudes, Skills &amp; Competencies:</w:t>
            </w:r>
          </w:p>
        </w:tc>
      </w:tr>
      <w:tr w:rsidR="003804BA" w:rsidRPr="007B44B4" w14:paraId="1F01BB17" w14:textId="77777777" w:rsidTr="00631744">
        <w:tc>
          <w:tcPr>
            <w:tcW w:w="7912" w:type="dxa"/>
            <w:vAlign w:val="center"/>
          </w:tcPr>
          <w:p w14:paraId="0C46E766"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t xml:space="preserve">The ability to work with a range of health, Council and other partners, using public health intelligence and negotiation skills to agree and develop evidence-based and locally appropriate innovative ways of working. </w:t>
            </w:r>
          </w:p>
          <w:p w14:paraId="1727FE89" w14:textId="77777777" w:rsidR="003804BA" w:rsidRPr="007B44B4" w:rsidRDefault="003804BA" w:rsidP="00631744">
            <w:pPr>
              <w:pStyle w:val="PlainText"/>
              <w:jc w:val="both"/>
              <w:rPr>
                <w:rFonts w:ascii="Arial" w:hAnsi="Arial" w:cs="Arial"/>
                <w:sz w:val="22"/>
                <w:szCs w:val="22"/>
              </w:rPr>
            </w:pPr>
          </w:p>
        </w:tc>
        <w:tc>
          <w:tcPr>
            <w:tcW w:w="1297" w:type="dxa"/>
            <w:vAlign w:val="center"/>
          </w:tcPr>
          <w:p w14:paraId="745C965F" w14:textId="77777777" w:rsidR="003804BA" w:rsidRPr="007B44B4" w:rsidRDefault="003804BA" w:rsidP="00631744">
            <w:pPr>
              <w:tabs>
                <w:tab w:val="num" w:pos="720"/>
              </w:tabs>
              <w:jc w:val="center"/>
              <w:rPr>
                <w:rFonts w:cs="Arial"/>
                <w:sz w:val="22"/>
                <w:szCs w:val="22"/>
              </w:rPr>
            </w:pPr>
            <w:r w:rsidRPr="007B44B4">
              <w:rPr>
                <w:rFonts w:cs="Arial"/>
                <w:sz w:val="22"/>
                <w:szCs w:val="22"/>
              </w:rPr>
              <w:t>S/I</w:t>
            </w:r>
          </w:p>
        </w:tc>
      </w:tr>
      <w:tr w:rsidR="003804BA" w:rsidRPr="007B44B4" w14:paraId="207862D4" w14:textId="77777777" w:rsidTr="00631744">
        <w:tc>
          <w:tcPr>
            <w:tcW w:w="7912" w:type="dxa"/>
            <w:vAlign w:val="center"/>
          </w:tcPr>
          <w:p w14:paraId="20732F82"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t xml:space="preserve">High standard of communication and report writing skills, demonstrated by the ability to present complex oral and written information, in a variety of formats to a variety of audiences.  </w:t>
            </w:r>
          </w:p>
          <w:p w14:paraId="7DF25302" w14:textId="77777777" w:rsidR="003804BA" w:rsidRPr="007B44B4" w:rsidRDefault="003804BA" w:rsidP="00631744">
            <w:pPr>
              <w:pStyle w:val="PlainText"/>
              <w:jc w:val="both"/>
              <w:rPr>
                <w:rFonts w:ascii="Arial" w:hAnsi="Arial" w:cs="Arial"/>
                <w:sz w:val="22"/>
                <w:szCs w:val="22"/>
              </w:rPr>
            </w:pPr>
          </w:p>
        </w:tc>
        <w:tc>
          <w:tcPr>
            <w:tcW w:w="1297" w:type="dxa"/>
            <w:vAlign w:val="center"/>
          </w:tcPr>
          <w:p w14:paraId="54676A30" w14:textId="77777777" w:rsidR="003804BA" w:rsidRPr="007B44B4" w:rsidRDefault="003804BA" w:rsidP="00631744">
            <w:pPr>
              <w:tabs>
                <w:tab w:val="num" w:pos="720"/>
              </w:tabs>
              <w:jc w:val="center"/>
              <w:rPr>
                <w:rFonts w:cs="Arial"/>
                <w:sz w:val="22"/>
                <w:szCs w:val="22"/>
              </w:rPr>
            </w:pPr>
          </w:p>
          <w:p w14:paraId="1E619406" w14:textId="77777777" w:rsidR="003804BA" w:rsidRPr="007B44B4" w:rsidRDefault="003804BA" w:rsidP="00631744">
            <w:pPr>
              <w:tabs>
                <w:tab w:val="num" w:pos="720"/>
              </w:tabs>
              <w:jc w:val="center"/>
              <w:rPr>
                <w:rFonts w:cs="Arial"/>
                <w:sz w:val="22"/>
                <w:szCs w:val="22"/>
              </w:rPr>
            </w:pPr>
            <w:r w:rsidRPr="007B44B4">
              <w:rPr>
                <w:rFonts w:cs="Arial"/>
                <w:sz w:val="22"/>
                <w:szCs w:val="22"/>
              </w:rPr>
              <w:t>I</w:t>
            </w:r>
          </w:p>
        </w:tc>
      </w:tr>
      <w:tr w:rsidR="003804BA" w:rsidRPr="007B44B4" w14:paraId="22A16951" w14:textId="77777777" w:rsidTr="00631744">
        <w:tc>
          <w:tcPr>
            <w:tcW w:w="7912" w:type="dxa"/>
            <w:vAlign w:val="center"/>
          </w:tcPr>
          <w:p w14:paraId="45741EC8"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t xml:space="preserve">Good time management and prioritisation skills, demonstrated by the ability to use own initiative to manage a number of projects simultaneously, ensuring planning, organising and prioritising work load to meet project deadlines. </w:t>
            </w:r>
          </w:p>
          <w:p w14:paraId="12CDA83D" w14:textId="77777777" w:rsidR="003804BA" w:rsidRPr="007B44B4" w:rsidRDefault="003804BA" w:rsidP="00631744">
            <w:pPr>
              <w:pStyle w:val="PlainText"/>
              <w:jc w:val="both"/>
              <w:rPr>
                <w:rFonts w:ascii="Arial" w:hAnsi="Arial" w:cs="Arial"/>
                <w:sz w:val="22"/>
                <w:szCs w:val="22"/>
              </w:rPr>
            </w:pPr>
          </w:p>
        </w:tc>
        <w:tc>
          <w:tcPr>
            <w:tcW w:w="1297" w:type="dxa"/>
            <w:vAlign w:val="center"/>
          </w:tcPr>
          <w:p w14:paraId="76BBEDDF" w14:textId="77777777" w:rsidR="003804BA" w:rsidRPr="007B44B4" w:rsidRDefault="003804BA" w:rsidP="00631744">
            <w:pPr>
              <w:tabs>
                <w:tab w:val="num" w:pos="720"/>
              </w:tabs>
              <w:jc w:val="center"/>
              <w:rPr>
                <w:rFonts w:cs="Arial"/>
                <w:sz w:val="22"/>
                <w:szCs w:val="22"/>
              </w:rPr>
            </w:pPr>
            <w:r w:rsidRPr="007B44B4">
              <w:rPr>
                <w:rFonts w:cs="Arial"/>
                <w:sz w:val="22"/>
                <w:szCs w:val="22"/>
              </w:rPr>
              <w:t>S/I</w:t>
            </w:r>
          </w:p>
        </w:tc>
      </w:tr>
      <w:tr w:rsidR="003804BA" w:rsidRPr="007B44B4" w14:paraId="61355B21" w14:textId="77777777" w:rsidTr="00631744">
        <w:tc>
          <w:tcPr>
            <w:tcW w:w="7912" w:type="dxa"/>
            <w:vAlign w:val="center"/>
          </w:tcPr>
          <w:p w14:paraId="25521215" w14:textId="77777777" w:rsidR="003804BA" w:rsidRPr="007B44B4" w:rsidRDefault="003804BA" w:rsidP="00631744">
            <w:pPr>
              <w:pStyle w:val="PlainText"/>
              <w:jc w:val="both"/>
              <w:rPr>
                <w:rFonts w:ascii="Arial" w:hAnsi="Arial" w:cs="Arial"/>
                <w:sz w:val="22"/>
                <w:szCs w:val="22"/>
              </w:rPr>
            </w:pPr>
            <w:r w:rsidRPr="007B44B4">
              <w:rPr>
                <w:rFonts w:ascii="Arial" w:hAnsi="Arial" w:cs="Arial"/>
                <w:sz w:val="22"/>
                <w:szCs w:val="22"/>
              </w:rPr>
              <w:lastRenderedPageBreak/>
              <w:t xml:space="preserve">Ability to analyse, interpret and synthesize complex information, including epidemiological data, from a number of sources. </w:t>
            </w:r>
          </w:p>
          <w:p w14:paraId="588C784F" w14:textId="77777777" w:rsidR="003804BA" w:rsidRPr="007B44B4" w:rsidRDefault="003804BA" w:rsidP="00631744">
            <w:pPr>
              <w:pStyle w:val="PlainText"/>
              <w:jc w:val="both"/>
              <w:rPr>
                <w:rFonts w:ascii="Arial" w:hAnsi="Arial" w:cs="Arial"/>
                <w:sz w:val="22"/>
                <w:szCs w:val="22"/>
              </w:rPr>
            </w:pPr>
          </w:p>
        </w:tc>
        <w:tc>
          <w:tcPr>
            <w:tcW w:w="1297" w:type="dxa"/>
            <w:vAlign w:val="center"/>
          </w:tcPr>
          <w:p w14:paraId="1FF04FE2" w14:textId="77777777" w:rsidR="003804BA" w:rsidRPr="007B44B4" w:rsidRDefault="003804BA" w:rsidP="00631744">
            <w:pPr>
              <w:tabs>
                <w:tab w:val="num" w:pos="720"/>
              </w:tabs>
              <w:jc w:val="center"/>
              <w:rPr>
                <w:rFonts w:cs="Arial"/>
                <w:sz w:val="22"/>
                <w:szCs w:val="22"/>
              </w:rPr>
            </w:pPr>
            <w:r w:rsidRPr="007B44B4">
              <w:rPr>
                <w:rFonts w:cs="Arial"/>
                <w:sz w:val="22"/>
                <w:szCs w:val="22"/>
              </w:rPr>
              <w:t>I/T</w:t>
            </w:r>
          </w:p>
        </w:tc>
      </w:tr>
      <w:tr w:rsidR="003804BA" w:rsidRPr="007B44B4" w14:paraId="30817F86" w14:textId="77777777" w:rsidTr="00631744">
        <w:tc>
          <w:tcPr>
            <w:tcW w:w="9209" w:type="dxa"/>
            <w:gridSpan w:val="2"/>
          </w:tcPr>
          <w:p w14:paraId="56F5EC82" w14:textId="77777777" w:rsidR="003804BA" w:rsidRPr="007B44B4" w:rsidRDefault="003804BA" w:rsidP="00631744">
            <w:pPr>
              <w:tabs>
                <w:tab w:val="num" w:pos="720"/>
              </w:tabs>
              <w:rPr>
                <w:rFonts w:cs="Arial"/>
                <w:b/>
                <w:sz w:val="22"/>
                <w:szCs w:val="22"/>
              </w:rPr>
            </w:pPr>
          </w:p>
          <w:p w14:paraId="337F2A2B" w14:textId="77777777" w:rsidR="003804BA" w:rsidRPr="007B44B4" w:rsidRDefault="003804BA" w:rsidP="00631744">
            <w:pPr>
              <w:tabs>
                <w:tab w:val="num" w:pos="720"/>
              </w:tabs>
              <w:rPr>
                <w:rFonts w:cs="Arial"/>
                <w:b/>
                <w:sz w:val="22"/>
                <w:szCs w:val="22"/>
              </w:rPr>
            </w:pPr>
            <w:r w:rsidRPr="007B44B4">
              <w:rPr>
                <w:rFonts w:cs="Arial"/>
                <w:b/>
                <w:sz w:val="22"/>
                <w:szCs w:val="22"/>
              </w:rPr>
              <w:t>Special Conditions of Recruitment:</w:t>
            </w:r>
          </w:p>
        </w:tc>
      </w:tr>
      <w:tr w:rsidR="003804BA" w:rsidRPr="007B44B4" w14:paraId="3A08E944" w14:textId="77777777" w:rsidTr="00631744">
        <w:tc>
          <w:tcPr>
            <w:tcW w:w="9209" w:type="dxa"/>
            <w:gridSpan w:val="2"/>
            <w:vAlign w:val="center"/>
          </w:tcPr>
          <w:p w14:paraId="73061197" w14:textId="77777777" w:rsidR="003804BA" w:rsidRPr="007B44B4" w:rsidRDefault="003804BA" w:rsidP="00631744">
            <w:pPr>
              <w:tabs>
                <w:tab w:val="num" w:pos="720"/>
              </w:tabs>
              <w:rPr>
                <w:rFonts w:cs="Arial"/>
                <w:sz w:val="22"/>
                <w:szCs w:val="22"/>
              </w:rPr>
            </w:pPr>
            <w:r w:rsidRPr="007B44B4">
              <w:rPr>
                <w:rFonts w:cs="Arial"/>
                <w:sz w:val="22"/>
                <w:szCs w:val="22"/>
              </w:rPr>
              <w:t>Comply with and promote the Council’s Equal opportunities policy</w:t>
            </w:r>
          </w:p>
          <w:p w14:paraId="4ADDCCDC" w14:textId="77777777" w:rsidR="003804BA" w:rsidRPr="007B44B4" w:rsidRDefault="003804BA" w:rsidP="00631744">
            <w:pPr>
              <w:tabs>
                <w:tab w:val="num" w:pos="720"/>
              </w:tabs>
              <w:rPr>
                <w:rFonts w:cs="Arial"/>
                <w:sz w:val="22"/>
                <w:szCs w:val="22"/>
              </w:rPr>
            </w:pPr>
          </w:p>
        </w:tc>
      </w:tr>
    </w:tbl>
    <w:p w14:paraId="02E9AB46" w14:textId="77777777" w:rsidR="003804BA" w:rsidRDefault="003804BA" w:rsidP="003804BA">
      <w:pPr>
        <w:tabs>
          <w:tab w:val="num" w:pos="720"/>
        </w:tabs>
        <w:spacing w:after="0" w:line="240" w:lineRule="auto"/>
        <w:ind w:left="720" w:hanging="720"/>
        <w:rPr>
          <w:rFonts w:ascii="Arial" w:eastAsia="Times New Roman" w:hAnsi="Arial" w:cs="Arial"/>
          <w:b/>
          <w:color w:val="808080" w:themeColor="background1" w:themeShade="80"/>
        </w:rPr>
      </w:pPr>
    </w:p>
    <w:p w14:paraId="595C608A" w14:textId="77777777" w:rsidR="003804BA" w:rsidRPr="003A5AD1" w:rsidRDefault="003804BA" w:rsidP="003804BA">
      <w:pPr>
        <w:tabs>
          <w:tab w:val="num" w:pos="720"/>
        </w:tabs>
        <w:spacing w:after="0" w:line="240" w:lineRule="auto"/>
        <w:ind w:left="720" w:hanging="720"/>
        <w:rPr>
          <w:rFonts w:ascii="Arial" w:eastAsia="Times New Roman" w:hAnsi="Arial" w:cs="Times New Roman"/>
          <w:sz w:val="24"/>
          <w:szCs w:val="20"/>
        </w:rPr>
      </w:pPr>
      <w:r>
        <w:rPr>
          <w:rFonts w:ascii="Arial" w:eastAsia="Times New Roman" w:hAnsi="Arial" w:cs="Arial"/>
          <w:b/>
          <w:color w:val="808080" w:themeColor="background1" w:themeShade="80"/>
        </w:rPr>
        <w:t>Key:</w:t>
      </w:r>
      <w:r>
        <w:rPr>
          <w:rFonts w:ascii="Arial" w:eastAsia="Times New Roman" w:hAnsi="Arial" w:cs="Arial"/>
          <w:b/>
          <w:color w:val="808080" w:themeColor="background1" w:themeShade="80"/>
        </w:rPr>
        <w:tab/>
        <w:t xml:space="preserve">S = </w:t>
      </w:r>
      <w:r w:rsidRPr="0039271E">
        <w:rPr>
          <w:rFonts w:ascii="Arial" w:eastAsia="Times New Roman" w:hAnsi="Arial" w:cs="Arial"/>
          <w:color w:val="808080" w:themeColor="background1" w:themeShade="80"/>
        </w:rPr>
        <w:t>Shortlisting criteria</w:t>
      </w:r>
      <w:r>
        <w:rPr>
          <w:rFonts w:ascii="Arial" w:eastAsia="Times New Roman" w:hAnsi="Arial" w:cs="Arial"/>
          <w:b/>
          <w:color w:val="808080" w:themeColor="background1" w:themeShade="80"/>
        </w:rPr>
        <w:tab/>
        <w:t xml:space="preserve">I = </w:t>
      </w:r>
      <w:r w:rsidRPr="0039271E">
        <w:rPr>
          <w:rFonts w:ascii="Arial" w:eastAsia="Times New Roman" w:hAnsi="Arial" w:cs="Arial"/>
          <w:color w:val="808080" w:themeColor="background1" w:themeShade="80"/>
        </w:rPr>
        <w:t>Evaluated at interview</w:t>
      </w:r>
      <w:r>
        <w:rPr>
          <w:rFonts w:ascii="Arial" w:eastAsia="Times New Roman" w:hAnsi="Arial" w:cs="Arial"/>
          <w:b/>
          <w:color w:val="808080" w:themeColor="background1" w:themeShade="80"/>
        </w:rPr>
        <w:tab/>
        <w:t xml:space="preserve">T = </w:t>
      </w:r>
      <w:r w:rsidRPr="0039271E">
        <w:rPr>
          <w:rFonts w:ascii="Arial" w:eastAsia="Times New Roman" w:hAnsi="Arial" w:cs="Arial"/>
          <w:color w:val="808080" w:themeColor="background1" w:themeShade="80"/>
        </w:rPr>
        <w:t>Subject to test</w:t>
      </w:r>
    </w:p>
    <w:p w14:paraId="6BBC00E6" w14:textId="77777777" w:rsidR="00F42B37" w:rsidRDefault="00F42B37" w:rsidP="008605FE">
      <w:pPr>
        <w:rPr>
          <w:rFonts w:ascii="Arial" w:eastAsia="Times New Roman" w:hAnsi="Arial" w:cs="Arial"/>
          <w:b/>
          <w:sz w:val="36"/>
          <w:szCs w:val="20"/>
        </w:rPr>
      </w:pPr>
    </w:p>
    <w:sectPr w:rsidR="00F42B37" w:rsidSect="00545F46">
      <w:headerReference w:type="default" r:id="rId11"/>
      <w:footerReference w:type="default" r:id="rId12"/>
      <w:pgSz w:w="11906" w:h="16838" w:code="9"/>
      <w:pgMar w:top="1634" w:right="1133" w:bottom="1440" w:left="1440" w:header="56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DBB17" w14:textId="77777777" w:rsidR="008605FE" w:rsidRDefault="008605FE" w:rsidP="008605FE">
      <w:pPr>
        <w:spacing w:after="0" w:line="240" w:lineRule="auto"/>
      </w:pPr>
      <w:r>
        <w:separator/>
      </w:r>
    </w:p>
  </w:endnote>
  <w:endnote w:type="continuationSeparator" w:id="0">
    <w:p w14:paraId="17D98C08" w14:textId="77777777" w:rsidR="008605FE" w:rsidRDefault="008605FE" w:rsidP="0086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D1D6" w14:textId="77777777" w:rsidR="00AE1534" w:rsidRPr="006D45C9" w:rsidRDefault="00AE1534" w:rsidP="00AE1534">
    <w:pPr>
      <w:spacing w:after="0" w:line="240" w:lineRule="auto"/>
      <w:ind w:right="-330"/>
      <w:jc w:val="both"/>
      <w:rPr>
        <w:rFonts w:ascii="Arial" w:eastAsia="Calibri" w:hAnsi="Arial" w:cs="Arial"/>
        <w:b/>
        <w:bCs/>
        <w:color w:val="1F497D"/>
        <w:sz w:val="20"/>
        <w:szCs w:val="20"/>
        <w:lang w:eastAsia="en-GB"/>
      </w:rPr>
    </w:pPr>
    <w:r w:rsidRPr="006D45C9">
      <w:rPr>
        <w:rFonts w:ascii="Arial" w:eastAsia="Calibri" w:hAnsi="Arial" w:cs="Arial"/>
        <w:b/>
        <w:bCs/>
        <w:sz w:val="20"/>
        <w:szCs w:val="20"/>
        <w:lang w:eastAsia="en-GB"/>
      </w:rPr>
      <w:t xml:space="preserve">Southwark Council values: </w:t>
    </w:r>
    <w:r w:rsidRPr="006D45C9">
      <w:rPr>
        <w:rFonts w:ascii="Arial" w:eastAsia="Calibri" w:hAnsi="Arial" w:cs="Arial"/>
        <w:b/>
        <w:bCs/>
        <w:color w:val="F79646"/>
        <w:sz w:val="20"/>
        <w:szCs w:val="20"/>
        <w:lang w:eastAsia="en-GB"/>
      </w:rPr>
      <w:t>Treating residents as if they were a valued member of your own family |</w:t>
    </w:r>
    <w:r w:rsidRPr="006D45C9">
      <w:rPr>
        <w:rFonts w:ascii="Arial" w:eastAsia="Calibri" w:hAnsi="Arial" w:cs="Arial"/>
        <w:b/>
        <w:bCs/>
        <w:color w:val="1F497D"/>
        <w:sz w:val="20"/>
        <w:szCs w:val="20"/>
        <w:lang w:eastAsia="en-GB"/>
      </w:rPr>
      <w:t xml:space="preserve"> </w:t>
    </w:r>
    <w:r w:rsidRPr="006D45C9">
      <w:rPr>
        <w:rFonts w:ascii="Arial" w:eastAsia="Calibri" w:hAnsi="Arial" w:cs="Arial"/>
        <w:b/>
        <w:bCs/>
        <w:color w:val="FFC000"/>
        <w:sz w:val="20"/>
        <w:szCs w:val="20"/>
        <w:lang w:eastAsia="en-GB"/>
      </w:rPr>
      <w:t>Being open, honest and accountable |</w:t>
    </w:r>
    <w:r w:rsidRPr="006D45C9">
      <w:rPr>
        <w:rFonts w:ascii="Arial" w:eastAsia="Calibri" w:hAnsi="Arial" w:cs="Arial"/>
        <w:b/>
        <w:bCs/>
        <w:color w:val="1F497D"/>
        <w:sz w:val="20"/>
        <w:szCs w:val="20"/>
        <w:lang w:eastAsia="en-GB"/>
      </w:rPr>
      <w:t xml:space="preserve"> </w:t>
    </w:r>
    <w:r w:rsidRPr="006D45C9">
      <w:rPr>
        <w:rFonts w:ascii="Arial" w:eastAsia="Calibri" w:hAnsi="Arial" w:cs="Arial"/>
        <w:b/>
        <w:bCs/>
        <w:color w:val="00B050"/>
        <w:sz w:val="20"/>
        <w:szCs w:val="20"/>
        <w:lang w:eastAsia="en-GB"/>
      </w:rPr>
      <w:t>Spending money as if it was your own |</w:t>
    </w:r>
    <w:r w:rsidRPr="006D45C9">
      <w:rPr>
        <w:rFonts w:ascii="Arial" w:eastAsia="Calibri" w:hAnsi="Arial" w:cs="Arial"/>
        <w:b/>
        <w:bCs/>
        <w:color w:val="1F497D"/>
        <w:sz w:val="20"/>
        <w:szCs w:val="20"/>
        <w:lang w:eastAsia="en-GB"/>
      </w:rPr>
      <w:t xml:space="preserve"> Working for everyone to realise their own potential | </w:t>
    </w:r>
    <w:r w:rsidRPr="006D45C9">
      <w:rPr>
        <w:rFonts w:ascii="Arial" w:eastAsia="Calibri" w:hAnsi="Arial" w:cs="Arial"/>
        <w:b/>
        <w:bCs/>
        <w:color w:val="943634"/>
        <w:sz w:val="20"/>
        <w:szCs w:val="20"/>
        <w:lang w:eastAsia="en-GB"/>
      </w:rPr>
      <w:t>Making Southwark a place to be proud of</w:t>
    </w:r>
    <w:r w:rsidRPr="006D45C9">
      <w:rPr>
        <w:rFonts w:ascii="Arial" w:eastAsia="Calibri" w:hAnsi="Arial" w:cs="Arial"/>
        <w:b/>
        <w:bCs/>
        <w:color w:val="833C0B"/>
        <w:sz w:val="20"/>
        <w:szCs w:val="20"/>
        <w:lang w:eastAsia="en-GB"/>
      </w:rPr>
      <w:t xml:space="preserve"> | </w:t>
    </w:r>
    <w:r w:rsidRPr="006D45C9">
      <w:rPr>
        <w:rFonts w:ascii="Arial" w:eastAsia="Calibri" w:hAnsi="Arial" w:cs="Arial"/>
        <w:b/>
        <w:bCs/>
        <w:color w:val="1F497D"/>
        <w:sz w:val="20"/>
        <w:szCs w:val="20"/>
        <w:lang w:eastAsia="en-GB"/>
      </w:rPr>
      <w:t> </w:t>
    </w:r>
    <w:r w:rsidRPr="006D45C9">
      <w:rPr>
        <w:rFonts w:ascii="Arial" w:eastAsia="Calibri" w:hAnsi="Arial" w:cs="Arial"/>
        <w:b/>
        <w:bCs/>
        <w:color w:val="00B0F0"/>
        <w:sz w:val="20"/>
        <w:szCs w:val="20"/>
        <w:lang w:eastAsia="en-GB"/>
      </w:rPr>
      <w:t xml:space="preserve">Always work to make Southwark more equal and just | </w:t>
    </w:r>
    <w:r w:rsidRPr="006D45C9">
      <w:rPr>
        <w:rFonts w:ascii="Arial" w:eastAsia="Calibri" w:hAnsi="Arial" w:cs="Arial"/>
        <w:b/>
        <w:bCs/>
        <w:color w:val="7030A0"/>
        <w:sz w:val="20"/>
        <w:szCs w:val="20"/>
        <w:lang w:eastAsia="en-GB"/>
      </w:rPr>
      <w:t>Stand against all forms of discrimination and racism</w:t>
    </w:r>
  </w:p>
  <w:p w14:paraId="413DE060" w14:textId="59188EE4" w:rsidR="00AE1534" w:rsidRDefault="00AE153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910A5">
      <w:rPr>
        <w:caps/>
        <w:noProof/>
        <w:color w:val="4F81BD" w:themeColor="accent1"/>
      </w:rPr>
      <w:t>3</w:t>
    </w:r>
    <w:r>
      <w:rPr>
        <w:caps/>
        <w:noProof/>
        <w:color w:val="4F81BD" w:themeColor="accent1"/>
      </w:rPr>
      <w:fldChar w:fldCharType="end"/>
    </w:r>
  </w:p>
  <w:p w14:paraId="7DD59059" w14:textId="77777777" w:rsidR="00AE1534" w:rsidRDefault="00AE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851E0" w14:textId="77777777" w:rsidR="008605FE" w:rsidRDefault="008605FE" w:rsidP="008605FE">
      <w:pPr>
        <w:spacing w:after="0" w:line="240" w:lineRule="auto"/>
      </w:pPr>
      <w:r>
        <w:separator/>
      </w:r>
    </w:p>
  </w:footnote>
  <w:footnote w:type="continuationSeparator" w:id="0">
    <w:p w14:paraId="1FB3D57A" w14:textId="77777777" w:rsidR="008605FE" w:rsidRDefault="008605FE" w:rsidP="00860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7EE5" w14:textId="77777777" w:rsidR="008605FE" w:rsidRDefault="008605FE">
    <w:pPr>
      <w:pStyle w:val="Header"/>
    </w:pPr>
    <w:r>
      <w:tab/>
    </w:r>
    <w:r>
      <w:tab/>
    </w:r>
    <w:r>
      <w:rPr>
        <w:noProof/>
        <w:lang w:eastAsia="en-GB"/>
      </w:rPr>
      <w:drawing>
        <wp:inline distT="0" distB="0" distL="0" distR="0" wp14:anchorId="4C707197" wp14:editId="10C27B1C">
          <wp:extent cx="1292225" cy="57912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9FA"/>
    <w:multiLevelType w:val="hybridMultilevel"/>
    <w:tmpl w:val="61BE2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C485A"/>
    <w:multiLevelType w:val="singleLevel"/>
    <w:tmpl w:val="4564A402"/>
    <w:lvl w:ilvl="0">
      <w:start w:val="1"/>
      <w:numFmt w:val="decimal"/>
      <w:pStyle w:val="Heading4"/>
      <w:lvlText w:val="E%1"/>
      <w:lvlJc w:val="left"/>
      <w:pPr>
        <w:tabs>
          <w:tab w:val="num" w:pos="360"/>
        </w:tabs>
        <w:ind w:left="360" w:hanging="360"/>
      </w:pPr>
      <w:rPr>
        <w:rFonts w:ascii="Arial" w:hAnsi="Arial" w:hint="default"/>
        <w:b/>
        <w:i w:val="0"/>
        <w:color w:val="auto"/>
        <w:sz w:val="24"/>
      </w:rPr>
    </w:lvl>
  </w:abstractNum>
  <w:abstractNum w:abstractNumId="2" w15:restartNumberingAfterBreak="0">
    <w:nsid w:val="1E5C73B2"/>
    <w:multiLevelType w:val="hybridMultilevel"/>
    <w:tmpl w:val="6D4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BA7D2F"/>
    <w:multiLevelType w:val="hybridMultilevel"/>
    <w:tmpl w:val="95C2A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0711E4"/>
    <w:multiLevelType w:val="hybridMultilevel"/>
    <w:tmpl w:val="456EF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F2"/>
    <w:rsid w:val="00065D82"/>
    <w:rsid w:val="000C5E9D"/>
    <w:rsid w:val="000F29CE"/>
    <w:rsid w:val="000F4DCC"/>
    <w:rsid w:val="001062EC"/>
    <w:rsid w:val="0013260F"/>
    <w:rsid w:val="00150DB7"/>
    <w:rsid w:val="0016454F"/>
    <w:rsid w:val="00190DDA"/>
    <w:rsid w:val="001C557F"/>
    <w:rsid w:val="001C6594"/>
    <w:rsid w:val="001F044D"/>
    <w:rsid w:val="00221D03"/>
    <w:rsid w:val="002E57E8"/>
    <w:rsid w:val="002E5AA7"/>
    <w:rsid w:val="002F1BFA"/>
    <w:rsid w:val="00324554"/>
    <w:rsid w:val="0034235E"/>
    <w:rsid w:val="0034422B"/>
    <w:rsid w:val="003578EF"/>
    <w:rsid w:val="00364F07"/>
    <w:rsid w:val="00371475"/>
    <w:rsid w:val="003804BA"/>
    <w:rsid w:val="003B0B28"/>
    <w:rsid w:val="003D647A"/>
    <w:rsid w:val="00401DC4"/>
    <w:rsid w:val="00422FCC"/>
    <w:rsid w:val="00450BB2"/>
    <w:rsid w:val="00454402"/>
    <w:rsid w:val="00484444"/>
    <w:rsid w:val="0049008A"/>
    <w:rsid w:val="00494A4F"/>
    <w:rsid w:val="004C1BD5"/>
    <w:rsid w:val="004E5CF2"/>
    <w:rsid w:val="00545F46"/>
    <w:rsid w:val="005A092B"/>
    <w:rsid w:val="005B4383"/>
    <w:rsid w:val="005D1D99"/>
    <w:rsid w:val="005F2E84"/>
    <w:rsid w:val="005F5A4E"/>
    <w:rsid w:val="0060734C"/>
    <w:rsid w:val="00612E17"/>
    <w:rsid w:val="00614505"/>
    <w:rsid w:val="006272B1"/>
    <w:rsid w:val="0064130D"/>
    <w:rsid w:val="00646606"/>
    <w:rsid w:val="00676357"/>
    <w:rsid w:val="006776C4"/>
    <w:rsid w:val="0068181E"/>
    <w:rsid w:val="006E1272"/>
    <w:rsid w:val="007107C4"/>
    <w:rsid w:val="00736AEE"/>
    <w:rsid w:val="00756DE3"/>
    <w:rsid w:val="007969B5"/>
    <w:rsid w:val="007B44B4"/>
    <w:rsid w:val="007E3A7E"/>
    <w:rsid w:val="007F125D"/>
    <w:rsid w:val="008605FE"/>
    <w:rsid w:val="00861B6F"/>
    <w:rsid w:val="00883D08"/>
    <w:rsid w:val="00887287"/>
    <w:rsid w:val="008A5524"/>
    <w:rsid w:val="008B75F6"/>
    <w:rsid w:val="008C0FC8"/>
    <w:rsid w:val="008D08D4"/>
    <w:rsid w:val="008D766C"/>
    <w:rsid w:val="008E7A02"/>
    <w:rsid w:val="00902E4F"/>
    <w:rsid w:val="009072B7"/>
    <w:rsid w:val="009171F0"/>
    <w:rsid w:val="009A1752"/>
    <w:rsid w:val="009A2936"/>
    <w:rsid w:val="009C3C92"/>
    <w:rsid w:val="009C4D22"/>
    <w:rsid w:val="009E4140"/>
    <w:rsid w:val="00A308D8"/>
    <w:rsid w:val="00A30EB6"/>
    <w:rsid w:val="00A45CE1"/>
    <w:rsid w:val="00A46C94"/>
    <w:rsid w:val="00A7771B"/>
    <w:rsid w:val="00A8397A"/>
    <w:rsid w:val="00A949E3"/>
    <w:rsid w:val="00AC5076"/>
    <w:rsid w:val="00AE1534"/>
    <w:rsid w:val="00B40D85"/>
    <w:rsid w:val="00B45EC7"/>
    <w:rsid w:val="00B64056"/>
    <w:rsid w:val="00B75984"/>
    <w:rsid w:val="00B75B04"/>
    <w:rsid w:val="00B80AFC"/>
    <w:rsid w:val="00B9172B"/>
    <w:rsid w:val="00BB545E"/>
    <w:rsid w:val="00C35B29"/>
    <w:rsid w:val="00C5210E"/>
    <w:rsid w:val="00C6556E"/>
    <w:rsid w:val="00C910A5"/>
    <w:rsid w:val="00CF40B3"/>
    <w:rsid w:val="00D50D43"/>
    <w:rsid w:val="00D57927"/>
    <w:rsid w:val="00DA4F7B"/>
    <w:rsid w:val="00DA55D6"/>
    <w:rsid w:val="00DD058E"/>
    <w:rsid w:val="00DF758F"/>
    <w:rsid w:val="00E05F25"/>
    <w:rsid w:val="00E06DE0"/>
    <w:rsid w:val="00E51D7A"/>
    <w:rsid w:val="00F23DF2"/>
    <w:rsid w:val="00F42B37"/>
    <w:rsid w:val="00F522FA"/>
    <w:rsid w:val="00F5395F"/>
    <w:rsid w:val="00FB1102"/>
    <w:rsid w:val="00FC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5803FF"/>
  <w15:docId w15:val="{1EA504CE-7ED7-4A19-81B4-473D550D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454402"/>
    <w:pPr>
      <w:keepNext/>
      <w:numPr>
        <w:numId w:val="1"/>
      </w:numPr>
      <w:spacing w:before="60" w:after="6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4402"/>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454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402"/>
    <w:rPr>
      <w:rFonts w:ascii="Tahoma" w:hAnsi="Tahoma" w:cs="Tahoma"/>
      <w:sz w:val="16"/>
      <w:szCs w:val="16"/>
    </w:rPr>
  </w:style>
  <w:style w:type="paragraph" w:styleId="ListParagraph">
    <w:name w:val="List Paragraph"/>
    <w:basedOn w:val="Normal"/>
    <w:uiPriority w:val="34"/>
    <w:qFormat/>
    <w:rsid w:val="00736AEE"/>
    <w:pPr>
      <w:ind w:left="720"/>
      <w:contextualSpacing/>
    </w:pPr>
  </w:style>
  <w:style w:type="table" w:customStyle="1" w:styleId="Jobtemplate">
    <w:name w:val="Job template"/>
    <w:basedOn w:val="TableGrid"/>
    <w:rsid w:val="002E57E8"/>
    <w:rPr>
      <w:rFonts w:ascii="Arial" w:eastAsia="Times New Roman" w:hAnsi="Arial" w:cs="Times New Roman"/>
      <w:sz w:val="24"/>
      <w:szCs w:val="20"/>
      <w:lang w:eastAsia="en-GB"/>
    </w:rPr>
    <w:tblPr/>
  </w:style>
  <w:style w:type="table" w:styleId="TableGrid">
    <w:name w:val="Table Grid"/>
    <w:basedOn w:val="TableNormal"/>
    <w:uiPriority w:val="59"/>
    <w:rsid w:val="002E5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54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C3C92"/>
    <w:rPr>
      <w:sz w:val="16"/>
      <w:szCs w:val="16"/>
    </w:rPr>
  </w:style>
  <w:style w:type="paragraph" w:styleId="CommentText">
    <w:name w:val="annotation text"/>
    <w:basedOn w:val="Normal"/>
    <w:link w:val="CommentTextChar"/>
    <w:uiPriority w:val="99"/>
    <w:semiHidden/>
    <w:unhideWhenUsed/>
    <w:rsid w:val="009C3C92"/>
    <w:pPr>
      <w:spacing w:line="240" w:lineRule="auto"/>
    </w:pPr>
    <w:rPr>
      <w:sz w:val="20"/>
      <w:szCs w:val="20"/>
    </w:rPr>
  </w:style>
  <w:style w:type="character" w:customStyle="1" w:styleId="CommentTextChar">
    <w:name w:val="Comment Text Char"/>
    <w:basedOn w:val="DefaultParagraphFont"/>
    <w:link w:val="CommentText"/>
    <w:uiPriority w:val="99"/>
    <w:semiHidden/>
    <w:rsid w:val="009C3C92"/>
    <w:rPr>
      <w:sz w:val="20"/>
      <w:szCs w:val="20"/>
    </w:rPr>
  </w:style>
  <w:style w:type="paragraph" w:styleId="CommentSubject">
    <w:name w:val="annotation subject"/>
    <w:basedOn w:val="CommentText"/>
    <w:next w:val="CommentText"/>
    <w:link w:val="CommentSubjectChar"/>
    <w:uiPriority w:val="99"/>
    <w:semiHidden/>
    <w:unhideWhenUsed/>
    <w:rsid w:val="009C3C92"/>
    <w:rPr>
      <w:b/>
      <w:bCs/>
    </w:rPr>
  </w:style>
  <w:style w:type="character" w:customStyle="1" w:styleId="CommentSubjectChar">
    <w:name w:val="Comment Subject Char"/>
    <w:basedOn w:val="CommentTextChar"/>
    <w:link w:val="CommentSubject"/>
    <w:uiPriority w:val="99"/>
    <w:semiHidden/>
    <w:rsid w:val="009C3C92"/>
    <w:rPr>
      <w:b/>
      <w:bCs/>
      <w:sz w:val="20"/>
      <w:szCs w:val="20"/>
    </w:rPr>
  </w:style>
  <w:style w:type="paragraph" w:styleId="NormalWeb">
    <w:name w:val="Normal (Web)"/>
    <w:basedOn w:val="Normal"/>
    <w:uiPriority w:val="99"/>
    <w:semiHidden/>
    <w:unhideWhenUsed/>
    <w:rsid w:val="008D08D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860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5FE"/>
  </w:style>
  <w:style w:type="paragraph" w:styleId="Footer">
    <w:name w:val="footer"/>
    <w:basedOn w:val="Normal"/>
    <w:link w:val="FooterChar"/>
    <w:uiPriority w:val="99"/>
    <w:unhideWhenUsed/>
    <w:rsid w:val="00860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5FE"/>
  </w:style>
  <w:style w:type="paragraph" w:styleId="PlainText">
    <w:name w:val="Plain Text"/>
    <w:basedOn w:val="Normal"/>
    <w:link w:val="PlainTextChar"/>
    <w:rsid w:val="003804BA"/>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04BA"/>
    <w:rPr>
      <w:rFonts w:ascii="Courier New" w:eastAsia="Times New Roman" w:hAnsi="Courier New" w:cs="Times New Roman"/>
      <w:sz w:val="20"/>
      <w:szCs w:val="20"/>
    </w:rPr>
  </w:style>
  <w:style w:type="paragraph" w:styleId="List">
    <w:name w:val="List"/>
    <w:basedOn w:val="Normal"/>
    <w:rsid w:val="003804BA"/>
    <w:pPr>
      <w:overflowPunct w:val="0"/>
      <w:autoSpaceDE w:val="0"/>
      <w:autoSpaceDN w:val="0"/>
      <w:adjustRightInd w:val="0"/>
      <w:spacing w:before="120" w:after="0" w:line="240" w:lineRule="auto"/>
      <w:ind w:left="283" w:hanging="283"/>
      <w:textAlignment w:val="baseline"/>
    </w:pPr>
    <w:rPr>
      <w:rFonts w:ascii="Times New Roman" w:eastAsia="Times New Roman" w:hAnsi="Times New Roman" w:cs="Times New Roman"/>
      <w:sz w:val="24"/>
      <w:szCs w:val="20"/>
    </w:rPr>
  </w:style>
  <w:style w:type="paragraph" w:customStyle="1" w:styleId="xmsonormal">
    <w:name w:val="x_msonormal"/>
    <w:basedOn w:val="Normal"/>
    <w:rsid w:val="00150DB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82412">
      <w:bodyDiv w:val="1"/>
      <w:marLeft w:val="0"/>
      <w:marRight w:val="0"/>
      <w:marTop w:val="0"/>
      <w:marBottom w:val="0"/>
      <w:divBdr>
        <w:top w:val="none" w:sz="0" w:space="0" w:color="auto"/>
        <w:left w:val="none" w:sz="0" w:space="0" w:color="auto"/>
        <w:bottom w:val="none" w:sz="0" w:space="0" w:color="auto"/>
        <w:right w:val="none" w:sz="0" w:space="0" w:color="auto"/>
      </w:divBdr>
    </w:div>
    <w:div w:id="567502105">
      <w:bodyDiv w:val="1"/>
      <w:marLeft w:val="0"/>
      <w:marRight w:val="0"/>
      <w:marTop w:val="0"/>
      <w:marBottom w:val="0"/>
      <w:divBdr>
        <w:top w:val="none" w:sz="0" w:space="0" w:color="auto"/>
        <w:left w:val="none" w:sz="0" w:space="0" w:color="auto"/>
        <w:bottom w:val="none" w:sz="0" w:space="0" w:color="auto"/>
        <w:right w:val="none" w:sz="0" w:space="0" w:color="auto"/>
      </w:divBdr>
    </w:div>
    <w:div w:id="683554000">
      <w:bodyDiv w:val="1"/>
      <w:marLeft w:val="0"/>
      <w:marRight w:val="0"/>
      <w:marTop w:val="0"/>
      <w:marBottom w:val="0"/>
      <w:divBdr>
        <w:top w:val="none" w:sz="0" w:space="0" w:color="auto"/>
        <w:left w:val="none" w:sz="0" w:space="0" w:color="auto"/>
        <w:bottom w:val="none" w:sz="0" w:space="0" w:color="auto"/>
        <w:right w:val="none" w:sz="0" w:space="0" w:color="auto"/>
      </w:divBdr>
    </w:div>
    <w:div w:id="1248808766">
      <w:bodyDiv w:val="1"/>
      <w:marLeft w:val="0"/>
      <w:marRight w:val="0"/>
      <w:marTop w:val="0"/>
      <w:marBottom w:val="0"/>
      <w:divBdr>
        <w:top w:val="none" w:sz="0" w:space="0" w:color="auto"/>
        <w:left w:val="none" w:sz="0" w:space="0" w:color="auto"/>
        <w:bottom w:val="none" w:sz="0" w:space="0" w:color="auto"/>
        <w:right w:val="none" w:sz="0" w:space="0" w:color="auto"/>
      </w:divBdr>
    </w:div>
    <w:div w:id="17145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0333708B47A640AAF7C64498055288" ma:contentTypeVersion="12" ma:contentTypeDescription="Create a new document." ma:contentTypeScope="" ma:versionID="8d9b40dfcc95c670876ac235c03658ee">
  <xsd:schema xmlns:xsd="http://www.w3.org/2001/XMLSchema" xmlns:xs="http://www.w3.org/2001/XMLSchema" xmlns:p="http://schemas.microsoft.com/office/2006/metadata/properties" xmlns:ns3="4164a932-1aa3-4f06-8dc5-0594660406f7" xmlns:ns4="4a106917-ef05-4335-9f77-1055a4263878" targetNamespace="http://schemas.microsoft.com/office/2006/metadata/properties" ma:root="true" ma:fieldsID="776559019d55ccce286dc489624d3418" ns3:_="" ns4:_="">
    <xsd:import namespace="4164a932-1aa3-4f06-8dc5-0594660406f7"/>
    <xsd:import namespace="4a106917-ef05-4335-9f77-1055a42638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4a932-1aa3-4f06-8dc5-059466040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06917-ef05-4335-9f77-1055a42638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F9BA-70A4-4D99-8879-B5CEC197AF02}">
  <ds:schemaRefs>
    <ds:schemaRef ds:uri="http://purl.org/dc/terms/"/>
    <ds:schemaRef ds:uri="4164a932-1aa3-4f06-8dc5-0594660406f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a106917-ef05-4335-9f77-1055a4263878"/>
    <ds:schemaRef ds:uri="http://www.w3.org/XML/1998/namespace"/>
    <ds:schemaRef ds:uri="http://purl.org/dc/dcmitype/"/>
  </ds:schemaRefs>
</ds:datastoreItem>
</file>

<file path=customXml/itemProps2.xml><?xml version="1.0" encoding="utf-8"?>
<ds:datastoreItem xmlns:ds="http://schemas.openxmlformats.org/officeDocument/2006/customXml" ds:itemID="{38E9D6E3-3A1E-435E-BABC-17D3E6B0BF54}">
  <ds:schemaRefs>
    <ds:schemaRef ds:uri="http://schemas.microsoft.com/sharepoint/v3/contenttype/forms"/>
  </ds:schemaRefs>
</ds:datastoreItem>
</file>

<file path=customXml/itemProps3.xml><?xml version="1.0" encoding="utf-8"?>
<ds:datastoreItem xmlns:ds="http://schemas.openxmlformats.org/officeDocument/2006/customXml" ds:itemID="{DF63204E-104F-4D37-A1D1-E250A5B5F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4a932-1aa3-4f06-8dc5-0594660406f7"/>
    <ds:schemaRef ds:uri="4a106917-ef05-4335-9f77-1055a4263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85CA7-B410-4BB5-BA6E-6B84A4D0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Jin</dc:creator>
  <cp:lastModifiedBy>Davidson, Layla</cp:lastModifiedBy>
  <cp:revision>3</cp:revision>
  <cp:lastPrinted>2018-11-02T14:59:00Z</cp:lastPrinted>
  <dcterms:created xsi:type="dcterms:W3CDTF">2022-09-13T22:21:00Z</dcterms:created>
  <dcterms:modified xsi:type="dcterms:W3CDTF">2022-09-13T22:32:00Z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0x010100350333708B47A640AAF7C64498055288</vt:lpwstr>
  </property>
</Properties>
</file>