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1633" w14:textId="77777777" w:rsidR="00F5047B" w:rsidRDefault="00F5047B">
      <w:pPr>
        <w:rPr>
          <w:rFonts w:ascii="Arial" w:hAnsi="Arial" w:cs="Arial"/>
          <w:b/>
          <w:sz w:val="20"/>
        </w:rPr>
      </w:pPr>
    </w:p>
    <w:p w14:paraId="558D5D45" w14:textId="77777777" w:rsidR="00F5047B" w:rsidRDefault="00F5047B">
      <w:pPr>
        <w:pStyle w:val="Title"/>
        <w:rPr>
          <w:rFonts w:cs="Arial"/>
          <w:color w:val="auto"/>
          <w:sz w:val="36"/>
        </w:rPr>
      </w:pPr>
      <w:r>
        <w:rPr>
          <w:rFonts w:cs="Arial"/>
          <w:color w:val="auto"/>
          <w:sz w:val="36"/>
        </w:rPr>
        <w:t>Role Profile</w:t>
      </w:r>
    </w:p>
    <w:p w14:paraId="2B4014FE" w14:textId="77777777" w:rsidR="00F5047B" w:rsidRDefault="00F5047B">
      <w:pPr>
        <w:ind w:left="1260" w:right="54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33"/>
        <w:gridCol w:w="3960"/>
        <w:gridCol w:w="1260"/>
        <w:gridCol w:w="2160"/>
      </w:tblGrid>
      <w:tr w:rsidR="00F5047B" w14:paraId="3C7B5537" w14:textId="77777777" w:rsidTr="00FC14C2">
        <w:trPr>
          <w:trHeight w:val="185"/>
        </w:trPr>
        <w:tc>
          <w:tcPr>
            <w:tcW w:w="2133" w:type="dxa"/>
            <w:shd w:val="clear" w:color="auto" w:fill="FFFFFF"/>
            <w:vAlign w:val="center"/>
          </w:tcPr>
          <w:p w14:paraId="54722C3D" w14:textId="77777777" w:rsidR="00F5047B" w:rsidRDefault="00F5047B" w:rsidP="00FC14C2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Job Title:</w:t>
            </w:r>
          </w:p>
        </w:tc>
        <w:tc>
          <w:tcPr>
            <w:tcW w:w="3960" w:type="dxa"/>
            <w:shd w:val="clear" w:color="auto" w:fill="FFFFFF"/>
            <w:vAlign w:val="center"/>
          </w:tcPr>
          <w:p w14:paraId="3B180371" w14:textId="602C8C59" w:rsidR="00F5047B" w:rsidRPr="004C24A2" w:rsidRDefault="00B26871" w:rsidP="00FC14C2">
            <w:pPr>
              <w:pStyle w:val="Heading2"/>
              <w:spacing w:before="60" w:after="60"/>
              <w:rPr>
                <w:b w:val="0"/>
                <w:bCs/>
                <w:szCs w:val="22"/>
              </w:rPr>
            </w:pPr>
            <w:r>
              <w:rPr>
                <w:b w:val="0"/>
              </w:rPr>
              <w:t>Commercial Manager</w:t>
            </w:r>
            <w:r w:rsidR="00726DDD">
              <w:rPr>
                <w:b w:val="0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348D361" w14:textId="77777777" w:rsidR="00F5047B" w:rsidRDefault="00F5047B" w:rsidP="00FC14C2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Grade:</w:t>
            </w:r>
          </w:p>
          <w:p w14:paraId="3BE1F519" w14:textId="77777777" w:rsidR="009112F2" w:rsidRPr="009112F2" w:rsidRDefault="00A82711" w:rsidP="00FC14C2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16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6849726" w14:textId="77777777" w:rsidR="00AA6593" w:rsidRDefault="00F5047B" w:rsidP="00FC14C2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Spinal column point range:</w:t>
            </w:r>
            <w:r w:rsidR="00FC14C2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7A76932" w14:textId="77777777" w:rsidR="00F5047B" w:rsidRDefault="00AA6593" w:rsidP="00FC14C2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57-60</w:t>
            </w:r>
            <w:r w:rsidR="00F5047B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F5047B" w14:paraId="170CA39D" w14:textId="77777777" w:rsidTr="00FC14C2">
        <w:trPr>
          <w:trHeight w:val="247"/>
        </w:trPr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105B5" w14:textId="77777777" w:rsidR="00F5047B" w:rsidRDefault="00F5047B" w:rsidP="00FC14C2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Department: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4CBB8" w14:textId="77777777" w:rsidR="00F5047B" w:rsidRPr="004C24A2" w:rsidRDefault="0063138A" w:rsidP="00FC14C2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Commercial Hub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C818F4" w14:textId="77777777" w:rsidR="00F5047B" w:rsidRDefault="00F5047B" w:rsidP="00FC14C2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Post no.: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20A94" w14:textId="710FCA2A" w:rsidR="00F5047B" w:rsidRDefault="00F5047B" w:rsidP="00FC14C2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</w:p>
        </w:tc>
      </w:tr>
      <w:tr w:rsidR="00F5047B" w14:paraId="0307E4FD" w14:textId="77777777" w:rsidTr="00FC14C2"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ED7B53" w14:textId="77777777" w:rsidR="00F5047B" w:rsidRDefault="00F5047B" w:rsidP="00FC14C2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Directorate: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A10F51" w14:textId="66108287" w:rsidR="00F5047B" w:rsidRPr="004C24A2" w:rsidRDefault="00BF5555" w:rsidP="00FC14C2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Chief </w:t>
            </w:r>
            <w:r w:rsidR="007D4821">
              <w:rPr>
                <w:rFonts w:ascii="Arial" w:hAnsi="Arial" w:cs="Arial"/>
                <w:bCs/>
                <w:szCs w:val="22"/>
              </w:rPr>
              <w:t>Executive’s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D59368" w14:textId="77777777" w:rsidR="00F5047B" w:rsidRDefault="00F5047B" w:rsidP="00FC14C2">
            <w:pPr>
              <w:spacing w:before="60" w:after="60"/>
              <w:ind w:right="-346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Location: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4D5BA" w14:textId="77777777" w:rsidR="00F5047B" w:rsidRPr="004C24A2" w:rsidRDefault="009112F2" w:rsidP="00FC14C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4C24A2">
              <w:rPr>
                <w:rFonts w:ascii="Arial" w:hAnsi="Arial" w:cs="Arial"/>
                <w:szCs w:val="22"/>
              </w:rPr>
              <w:t>Perceval House</w:t>
            </w:r>
          </w:p>
        </w:tc>
      </w:tr>
      <w:tr w:rsidR="00F5047B" w14:paraId="49C37B8E" w14:textId="77777777" w:rsidTr="009112F2"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E87C06" w14:textId="77777777" w:rsidR="00F5047B" w:rsidRDefault="00F5047B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EAEDC5" w14:textId="77777777" w:rsidR="00F5047B" w:rsidRDefault="00F5047B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B08C43" w14:textId="77777777" w:rsidR="00F5047B" w:rsidRDefault="00F5047B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01BD2E" w14:textId="77777777" w:rsidR="00F5047B" w:rsidRDefault="00F5047B">
            <w:pPr>
              <w:spacing w:before="60" w:after="60"/>
              <w:rPr>
                <w:rFonts w:ascii="Arial" w:hAnsi="Arial" w:cs="Arial"/>
                <w:bCs/>
                <w:szCs w:val="22"/>
              </w:rPr>
            </w:pPr>
          </w:p>
        </w:tc>
      </w:tr>
      <w:tr w:rsidR="00F5047B" w14:paraId="55B30F7E" w14:textId="77777777" w:rsidTr="00FC14C2">
        <w:trPr>
          <w:cantSplit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7DB5D" w14:textId="77777777" w:rsidR="00F5047B" w:rsidRDefault="00F5047B" w:rsidP="007471B5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Role reports to: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76464" w14:textId="4561A99A" w:rsidR="00F5047B" w:rsidRPr="00F86EE9" w:rsidRDefault="00BF5555" w:rsidP="003E42F1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Category Lead</w:t>
            </w:r>
            <w:r w:rsidR="000B7721">
              <w:rPr>
                <w:rFonts w:ascii="Arial" w:hAnsi="Arial" w:cs="Arial"/>
                <w:szCs w:val="22"/>
              </w:rPr>
              <w:t xml:space="preserve"> – </w:t>
            </w:r>
            <w:r w:rsidR="00CF5C62">
              <w:rPr>
                <w:rFonts w:ascii="Arial" w:hAnsi="Arial" w:cs="Arial"/>
                <w:szCs w:val="22"/>
              </w:rPr>
              <w:t xml:space="preserve">Place </w:t>
            </w:r>
            <w:r w:rsidR="000B7721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5047B" w14:paraId="2AF01E42" w14:textId="77777777" w:rsidTr="00FC14C2">
        <w:trPr>
          <w:cantSplit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63355" w14:textId="77777777" w:rsidR="00F5047B" w:rsidRDefault="00F5047B" w:rsidP="007471B5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Direct Reports: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C268F" w14:textId="77777777" w:rsidR="00F5047B" w:rsidRPr="00F86EE9" w:rsidRDefault="00A82711" w:rsidP="00FC14C2">
            <w:pPr>
              <w:pStyle w:val="Heading7"/>
              <w:spacing w:before="60" w:after="60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None</w:t>
            </w:r>
          </w:p>
        </w:tc>
      </w:tr>
      <w:tr w:rsidR="00F5047B" w14:paraId="2010DF76" w14:textId="77777777" w:rsidTr="00FC14C2">
        <w:trPr>
          <w:cantSplit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58971" w14:textId="77777777" w:rsidR="00F5047B" w:rsidRDefault="00F5047B" w:rsidP="007471B5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Indirect Reports: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6881F" w14:textId="77777777" w:rsidR="00F5047B" w:rsidRPr="00FB1561" w:rsidRDefault="00782020" w:rsidP="00A82711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FB1561">
              <w:rPr>
                <w:rFonts w:ascii="Arial" w:hAnsi="Arial" w:cs="Arial"/>
                <w:szCs w:val="22"/>
              </w:rPr>
              <w:t>Indirect management</w:t>
            </w:r>
            <w:r w:rsidR="00700EC3">
              <w:rPr>
                <w:rFonts w:ascii="Arial" w:hAnsi="Arial" w:cs="Arial"/>
                <w:szCs w:val="22"/>
              </w:rPr>
              <w:t xml:space="preserve"> </w:t>
            </w:r>
            <w:r w:rsidRPr="00FB1561">
              <w:rPr>
                <w:rFonts w:ascii="Arial" w:hAnsi="Arial" w:cs="Arial"/>
                <w:szCs w:val="22"/>
              </w:rPr>
              <w:t xml:space="preserve">/ professional direction and support of others within the Commercial </w:t>
            </w:r>
            <w:r w:rsidR="00700EC3">
              <w:rPr>
                <w:rFonts w:ascii="Arial" w:hAnsi="Arial" w:cs="Arial"/>
                <w:szCs w:val="22"/>
              </w:rPr>
              <w:t>Hub</w:t>
            </w:r>
            <w:r w:rsidR="00F86EE9">
              <w:rPr>
                <w:rFonts w:ascii="Arial" w:hAnsi="Arial" w:cs="Arial"/>
                <w:szCs w:val="22"/>
              </w:rPr>
              <w:t>, including Procurement Project Officers</w:t>
            </w:r>
            <w:r w:rsidR="007471B5">
              <w:rPr>
                <w:rFonts w:ascii="Arial" w:hAnsi="Arial" w:cs="Arial"/>
                <w:szCs w:val="22"/>
              </w:rPr>
              <w:t>.</w:t>
            </w:r>
          </w:p>
        </w:tc>
      </w:tr>
      <w:tr w:rsidR="00F5047B" w14:paraId="5746A170" w14:textId="77777777" w:rsidTr="004C24A2">
        <w:trPr>
          <w:cantSplit/>
          <w:trHeight w:val="1117"/>
        </w:trPr>
        <w:tc>
          <w:tcPr>
            <w:tcW w:w="951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596F4F" w14:textId="77777777" w:rsidR="00F5047B" w:rsidRDefault="00F5047B" w:rsidP="007471B5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  <w:p w14:paraId="7C100170" w14:textId="77777777" w:rsidR="00F5047B" w:rsidRDefault="00F5047B" w:rsidP="007471B5">
            <w:pPr>
              <w:pStyle w:val="BodyText3"/>
              <w:jc w:val="both"/>
            </w:pPr>
            <w:r>
              <w:t>This role profile is non-contractual and provided for guidance. It will be updated and amended from time to time in accordance with the changing needs of the council and the requirements of the job.</w:t>
            </w:r>
          </w:p>
          <w:p w14:paraId="0D141A6E" w14:textId="77777777" w:rsidR="00F5047B" w:rsidRDefault="00F5047B" w:rsidP="007471B5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BAC175C" w14:textId="77777777" w:rsidR="00F5047B" w:rsidRDefault="00F5047B">
      <w:pPr>
        <w:tabs>
          <w:tab w:val="left" w:pos="1620"/>
        </w:tabs>
        <w:ind w:right="540"/>
        <w:rPr>
          <w:rFonts w:ascii="Arial" w:hAnsi="Arial" w:cs="Arial"/>
          <w:sz w:val="20"/>
          <w:szCs w:val="22"/>
        </w:rPr>
      </w:pPr>
    </w:p>
    <w:p w14:paraId="2408FDD0" w14:textId="77777777" w:rsidR="00F5047B" w:rsidRPr="009112F2" w:rsidRDefault="00F5047B" w:rsidP="009112F2">
      <w:pPr>
        <w:pStyle w:val="Heading3"/>
      </w:pPr>
      <w:r>
        <w:t>JOB DESCRIPTION</w:t>
      </w:r>
    </w:p>
    <w:p w14:paraId="07FDE2CB" w14:textId="77777777" w:rsidR="00F5047B" w:rsidRDefault="00F5047B">
      <w:pPr>
        <w:tabs>
          <w:tab w:val="left" w:pos="1620"/>
        </w:tabs>
        <w:ind w:right="540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5047B" w14:paraId="25C7CB80" w14:textId="77777777" w:rsidTr="0097104A">
        <w:trPr>
          <w:trHeight w:val="1967"/>
        </w:trPr>
        <w:tc>
          <w:tcPr>
            <w:tcW w:w="9540" w:type="dxa"/>
            <w:vAlign w:val="center"/>
          </w:tcPr>
          <w:p w14:paraId="31F22B23" w14:textId="6274169C" w:rsidR="00DD0589" w:rsidRDefault="00F5047B" w:rsidP="00253AF7">
            <w:pPr>
              <w:pStyle w:val="BodyText2"/>
              <w:jc w:val="left"/>
              <w:rPr>
                <w:b/>
              </w:rPr>
            </w:pPr>
            <w:r>
              <w:rPr>
                <w:b/>
              </w:rPr>
              <w:t>PURPOSE OF ROLE:</w:t>
            </w:r>
          </w:p>
          <w:p w14:paraId="1A94574F" w14:textId="77777777" w:rsidR="00253AF7" w:rsidRDefault="00253AF7" w:rsidP="00253AF7">
            <w:pPr>
              <w:pStyle w:val="BodyText2"/>
              <w:jc w:val="left"/>
              <w:rPr>
                <w:b/>
              </w:rPr>
            </w:pPr>
          </w:p>
          <w:p w14:paraId="326DA9B1" w14:textId="77DD0DA9" w:rsidR="00502C85" w:rsidRDefault="009112F2" w:rsidP="00253AF7">
            <w:pPr>
              <w:rPr>
                <w:rFonts w:ascii="Arial" w:hAnsi="Arial" w:cs="Arial"/>
              </w:rPr>
            </w:pPr>
            <w:r w:rsidRPr="006E42D4">
              <w:rPr>
                <w:rFonts w:ascii="Arial" w:hAnsi="Arial" w:cs="Arial"/>
              </w:rPr>
              <w:t xml:space="preserve">To drive a </w:t>
            </w:r>
            <w:r w:rsidR="009814CE" w:rsidRPr="006E42D4">
              <w:rPr>
                <w:rFonts w:ascii="Arial" w:hAnsi="Arial" w:cs="Arial"/>
              </w:rPr>
              <w:t xml:space="preserve">commercial </w:t>
            </w:r>
            <w:r w:rsidRPr="006E42D4">
              <w:rPr>
                <w:rFonts w:ascii="Arial" w:hAnsi="Arial" w:cs="Arial"/>
              </w:rPr>
              <w:t xml:space="preserve">approach across </w:t>
            </w:r>
            <w:r w:rsidR="00F86EE9" w:rsidRPr="006E42D4">
              <w:rPr>
                <w:rFonts w:ascii="Arial" w:hAnsi="Arial" w:cs="Arial"/>
              </w:rPr>
              <w:t xml:space="preserve">the </w:t>
            </w:r>
            <w:r w:rsidR="00DD0589" w:rsidRPr="006E42D4">
              <w:rPr>
                <w:rFonts w:ascii="Arial" w:hAnsi="Arial" w:cs="Arial"/>
              </w:rPr>
              <w:t>organisation</w:t>
            </w:r>
            <w:r w:rsidR="00F86EE9" w:rsidRPr="006E42D4">
              <w:rPr>
                <w:rFonts w:ascii="Arial" w:hAnsi="Arial" w:cs="Arial"/>
              </w:rPr>
              <w:t xml:space="preserve"> </w:t>
            </w:r>
            <w:r w:rsidR="00DD0589" w:rsidRPr="006E42D4">
              <w:rPr>
                <w:rFonts w:ascii="Arial" w:hAnsi="Arial" w:cs="Arial"/>
              </w:rPr>
              <w:t>that supports t</w:t>
            </w:r>
            <w:r w:rsidRPr="006E42D4">
              <w:rPr>
                <w:rFonts w:ascii="Arial" w:hAnsi="Arial" w:cs="Arial"/>
              </w:rPr>
              <w:t xml:space="preserve">he </w:t>
            </w:r>
            <w:r w:rsidR="00F86EE9" w:rsidRPr="006E42D4">
              <w:rPr>
                <w:rFonts w:ascii="Arial" w:hAnsi="Arial" w:cs="Arial"/>
              </w:rPr>
              <w:t>organisation’s</w:t>
            </w:r>
            <w:r w:rsidRPr="006E42D4">
              <w:rPr>
                <w:rFonts w:ascii="Arial" w:hAnsi="Arial" w:cs="Arial"/>
              </w:rPr>
              <w:t xml:space="preserve"> overall strategy</w:t>
            </w:r>
            <w:r w:rsidR="00502C85" w:rsidRPr="006E42D4">
              <w:rPr>
                <w:rFonts w:ascii="Arial" w:hAnsi="Arial" w:cs="Arial"/>
              </w:rPr>
              <w:t xml:space="preserve"> </w:t>
            </w:r>
            <w:r w:rsidR="00F86EE9" w:rsidRPr="006E42D4">
              <w:rPr>
                <w:rFonts w:ascii="Arial" w:hAnsi="Arial" w:cs="Arial"/>
              </w:rPr>
              <w:t xml:space="preserve">aims </w:t>
            </w:r>
            <w:r w:rsidR="00502C85" w:rsidRPr="006E42D4">
              <w:rPr>
                <w:rFonts w:ascii="Arial" w:hAnsi="Arial" w:cs="Arial"/>
              </w:rPr>
              <w:t>by</w:t>
            </w:r>
            <w:r w:rsidR="0017358A" w:rsidRPr="006E42D4">
              <w:rPr>
                <w:rFonts w:ascii="Arial" w:hAnsi="Arial" w:cs="Arial"/>
              </w:rPr>
              <w:t>:</w:t>
            </w:r>
          </w:p>
          <w:p w14:paraId="3413CC2F" w14:textId="77777777" w:rsidR="006E42D4" w:rsidRPr="006E42D4" w:rsidRDefault="006E42D4" w:rsidP="00253AF7">
            <w:pPr>
              <w:rPr>
                <w:rFonts w:ascii="Arial" w:hAnsi="Arial" w:cs="Arial"/>
              </w:rPr>
            </w:pPr>
          </w:p>
          <w:p w14:paraId="768CFB97" w14:textId="76620972" w:rsidR="006E42D4" w:rsidRDefault="006E42D4" w:rsidP="00253A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E42D4">
              <w:rPr>
                <w:rFonts w:ascii="Arial" w:hAnsi="Arial" w:cs="Arial"/>
              </w:rPr>
              <w:t>riv</w:t>
            </w:r>
            <w:r>
              <w:rPr>
                <w:rFonts w:ascii="Arial" w:hAnsi="Arial" w:cs="Arial"/>
              </w:rPr>
              <w:t>ing</w:t>
            </w:r>
            <w:r w:rsidRPr="006E42D4">
              <w:rPr>
                <w:rFonts w:ascii="Arial" w:hAnsi="Arial" w:cs="Arial"/>
              </w:rPr>
              <w:t xml:space="preserve"> increased value for money by leading the development and embedding of best practice contract and supplier relationship management on all</w:t>
            </w:r>
            <w:r w:rsidRPr="00037577">
              <w:rPr>
                <w:rFonts w:ascii="Arial" w:hAnsi="Arial" w:cs="Arial"/>
                <w:b/>
              </w:rPr>
              <w:t xml:space="preserve"> </w:t>
            </w:r>
            <w:r w:rsidR="00037577" w:rsidRPr="00037577">
              <w:rPr>
                <w:rFonts w:ascii="Arial" w:hAnsi="Arial" w:cs="Arial"/>
                <w:u w:val="single"/>
              </w:rPr>
              <w:t>key strategic</w:t>
            </w:r>
            <w:r w:rsidR="00037577">
              <w:rPr>
                <w:rFonts w:ascii="Arial" w:hAnsi="Arial" w:cs="Arial"/>
                <w:b/>
              </w:rPr>
              <w:t xml:space="preserve"> </w:t>
            </w:r>
            <w:r w:rsidRPr="006E42D4">
              <w:rPr>
                <w:rFonts w:ascii="Arial" w:hAnsi="Arial" w:cs="Arial"/>
              </w:rPr>
              <w:t>contracts across the Council.</w:t>
            </w:r>
          </w:p>
          <w:p w14:paraId="199CCBDD" w14:textId="77777777" w:rsidR="006E42D4" w:rsidRPr="006E42D4" w:rsidRDefault="006E42D4" w:rsidP="00253AF7">
            <w:pPr>
              <w:pStyle w:val="ListParagraph"/>
              <w:rPr>
                <w:rFonts w:ascii="Arial" w:hAnsi="Arial" w:cs="Arial"/>
              </w:rPr>
            </w:pPr>
          </w:p>
          <w:p w14:paraId="2F45A871" w14:textId="77777777" w:rsidR="00DD0589" w:rsidRDefault="006E42D4" w:rsidP="00253A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D0589" w:rsidRPr="00976413">
              <w:rPr>
                <w:rFonts w:ascii="Arial" w:hAnsi="Arial" w:cs="Arial"/>
              </w:rPr>
              <w:t>eveloping market insights and building relationships with suppliers based around the future needs and plans of strategic commissioners.</w:t>
            </w:r>
          </w:p>
          <w:p w14:paraId="1E5BB1A6" w14:textId="77777777" w:rsidR="006E42D4" w:rsidRDefault="006E42D4" w:rsidP="00253AF7">
            <w:pPr>
              <w:pStyle w:val="ListParagraph"/>
              <w:rPr>
                <w:rFonts w:ascii="Arial" w:hAnsi="Arial" w:cs="Arial"/>
              </w:rPr>
            </w:pPr>
          </w:p>
          <w:p w14:paraId="3EBAE26E" w14:textId="77777777" w:rsidR="000008AA" w:rsidRPr="00976413" w:rsidRDefault="006E42D4" w:rsidP="00253AF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008AA">
              <w:rPr>
                <w:rFonts w:ascii="Arial" w:hAnsi="Arial" w:cs="Arial"/>
              </w:rPr>
              <w:t xml:space="preserve">eveloping </w:t>
            </w:r>
            <w:r>
              <w:rPr>
                <w:rFonts w:ascii="Arial" w:hAnsi="Arial" w:cs="Arial"/>
              </w:rPr>
              <w:t xml:space="preserve">and implementing </w:t>
            </w:r>
            <w:r w:rsidR="000008AA">
              <w:rPr>
                <w:rFonts w:ascii="Arial" w:hAnsi="Arial" w:cs="Arial"/>
              </w:rPr>
              <w:t>commercial and category strategies.</w:t>
            </w:r>
          </w:p>
          <w:p w14:paraId="228D677C" w14:textId="77777777" w:rsidR="00DD0589" w:rsidRPr="006E42D4" w:rsidRDefault="00DD0589" w:rsidP="00253AF7">
            <w:pPr>
              <w:rPr>
                <w:rFonts w:ascii="Arial" w:hAnsi="Arial" w:cs="Arial"/>
              </w:rPr>
            </w:pPr>
          </w:p>
        </w:tc>
      </w:tr>
      <w:tr w:rsidR="00F5047B" w14:paraId="19EDC68B" w14:textId="77777777" w:rsidTr="00EA3D87">
        <w:trPr>
          <w:trHeight w:val="709"/>
        </w:trPr>
        <w:tc>
          <w:tcPr>
            <w:tcW w:w="9540" w:type="dxa"/>
            <w:vAlign w:val="center"/>
          </w:tcPr>
          <w:p w14:paraId="7CD6C3F7" w14:textId="47E6361C" w:rsidR="00F5047B" w:rsidRDefault="00F5047B" w:rsidP="00253AF7">
            <w:pPr>
              <w:rPr>
                <w:rFonts w:ascii="Arial" w:hAnsi="Arial" w:cs="Arial"/>
                <w:b/>
                <w:szCs w:val="22"/>
              </w:rPr>
            </w:pPr>
            <w:r w:rsidRPr="006E42D4">
              <w:rPr>
                <w:rFonts w:ascii="Arial" w:hAnsi="Arial" w:cs="Arial"/>
                <w:b/>
                <w:szCs w:val="22"/>
              </w:rPr>
              <w:t>KEY ACCOUNTABILITIES:</w:t>
            </w:r>
          </w:p>
          <w:p w14:paraId="65B6A3CA" w14:textId="77777777" w:rsidR="00253AF7" w:rsidRPr="006E42D4" w:rsidRDefault="00253AF7" w:rsidP="00253AF7">
            <w:pPr>
              <w:rPr>
                <w:rFonts w:ascii="Arial" w:hAnsi="Arial" w:cs="Arial"/>
                <w:b/>
                <w:szCs w:val="22"/>
              </w:rPr>
            </w:pPr>
          </w:p>
          <w:p w14:paraId="5628CC19" w14:textId="77777777" w:rsidR="00715E8F" w:rsidRDefault="00AC338C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 xml:space="preserve">Lead on commercial support to service areas within a portfolio of contracts </w:t>
            </w:r>
            <w:proofErr w:type="gramStart"/>
            <w:r w:rsidRPr="005D185C">
              <w:rPr>
                <w:rFonts w:ascii="Arial" w:hAnsi="Arial" w:cs="Arial"/>
              </w:rPr>
              <w:t>so as to</w:t>
            </w:r>
            <w:proofErr w:type="gramEnd"/>
            <w:r w:rsidRPr="005D185C">
              <w:rPr>
                <w:rFonts w:ascii="Arial" w:hAnsi="Arial" w:cs="Arial"/>
              </w:rPr>
              <w:t xml:space="preserve"> ensure the delivery of best value for money, as well as service improvements and cashable savings.</w:t>
            </w:r>
          </w:p>
          <w:p w14:paraId="762AAE2D" w14:textId="77777777" w:rsidR="00DA0CBA" w:rsidRPr="005D185C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E68DF0B" w14:textId="2A1160C3" w:rsidR="006E42D4" w:rsidRPr="006E42D4" w:rsidRDefault="006E42D4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E42D4">
              <w:rPr>
                <w:rFonts w:ascii="Arial" w:hAnsi="Arial" w:cs="Arial"/>
              </w:rPr>
              <w:t>Lead the engagement and negotiation with suppliers to drive year on year efficiency savings and maintain contract documentation including administering contract amendments.</w:t>
            </w:r>
          </w:p>
          <w:p w14:paraId="78419C02" w14:textId="77777777" w:rsidR="006E42D4" w:rsidRDefault="006E42D4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80AF1F7" w14:textId="77777777" w:rsidR="00AC338C" w:rsidRDefault="00715E8F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>Oversee the</w:t>
            </w:r>
            <w:r w:rsidR="00AC338C" w:rsidRPr="005D185C">
              <w:rPr>
                <w:rFonts w:ascii="Arial" w:hAnsi="Arial" w:cs="Arial"/>
              </w:rPr>
              <w:t xml:space="preserve"> development and embedding of best practice contract and supplier relationship management on all contracts within </w:t>
            </w:r>
            <w:r w:rsidRPr="005D185C">
              <w:rPr>
                <w:rFonts w:ascii="Arial" w:hAnsi="Arial" w:cs="Arial"/>
              </w:rPr>
              <w:t xml:space="preserve">an allocated portfolio, ensuring that </w:t>
            </w:r>
            <w:r w:rsidRPr="005D185C">
              <w:rPr>
                <w:rFonts w:ascii="Arial" w:hAnsi="Arial" w:cs="Arial"/>
              </w:rPr>
              <w:lastRenderedPageBreak/>
              <w:t>contracts meet the required outcomes and are in accordance with the terms and conditions and specification of requirements.</w:t>
            </w:r>
          </w:p>
          <w:p w14:paraId="26F14050" w14:textId="77777777" w:rsidR="000008AA" w:rsidRPr="000008AA" w:rsidRDefault="000008AA" w:rsidP="00253AF7">
            <w:pPr>
              <w:pStyle w:val="ListParagraph"/>
              <w:rPr>
                <w:rFonts w:ascii="Arial" w:hAnsi="Arial" w:cs="Arial"/>
              </w:rPr>
            </w:pPr>
          </w:p>
          <w:p w14:paraId="103CFDA7" w14:textId="77777777" w:rsidR="006E42D4" w:rsidRPr="00976413" w:rsidRDefault="006E42D4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76413">
              <w:rPr>
                <w:rFonts w:ascii="Arial" w:hAnsi="Arial" w:cs="Arial"/>
              </w:rPr>
              <w:t xml:space="preserve">Providing professional expertise and support to steer the delivery of </w:t>
            </w:r>
            <w:r>
              <w:rPr>
                <w:rFonts w:ascii="Arial" w:hAnsi="Arial" w:cs="Arial"/>
              </w:rPr>
              <w:t xml:space="preserve">strategic contracts across the Council so they meet the specified commercial and operational </w:t>
            </w:r>
            <w:proofErr w:type="gramStart"/>
            <w:r>
              <w:rPr>
                <w:rFonts w:ascii="Arial" w:hAnsi="Arial" w:cs="Arial"/>
              </w:rPr>
              <w:t>outcomes</w:t>
            </w:r>
            <w:r w:rsidRPr="00976413">
              <w:rPr>
                <w:rFonts w:ascii="Arial" w:hAnsi="Arial" w:cs="Arial"/>
              </w:rPr>
              <w:t>;</w:t>
            </w:r>
            <w:proofErr w:type="gramEnd"/>
          </w:p>
          <w:p w14:paraId="0EDBB92D" w14:textId="77777777" w:rsidR="006E42D4" w:rsidRPr="00976413" w:rsidRDefault="006E42D4" w:rsidP="00253AF7">
            <w:pPr>
              <w:pStyle w:val="ListParagraph"/>
              <w:rPr>
                <w:rFonts w:ascii="Arial" w:hAnsi="Arial" w:cs="Arial"/>
              </w:rPr>
            </w:pPr>
          </w:p>
          <w:p w14:paraId="1E5BAE18" w14:textId="77777777" w:rsidR="006E42D4" w:rsidRDefault="000008AA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strategic input</w:t>
            </w:r>
            <w:r w:rsidRPr="000008AA">
              <w:rPr>
                <w:rFonts w:ascii="Arial" w:hAnsi="Arial" w:cs="Arial"/>
              </w:rPr>
              <w:t xml:space="preserve"> and commercial advice at key</w:t>
            </w:r>
            <w:r>
              <w:rPr>
                <w:rFonts w:ascii="Arial" w:hAnsi="Arial" w:cs="Arial"/>
              </w:rPr>
              <w:t xml:space="preserve"> </w:t>
            </w:r>
            <w:r w:rsidRPr="000008AA">
              <w:rPr>
                <w:rFonts w:ascii="Arial" w:hAnsi="Arial" w:cs="Arial"/>
              </w:rPr>
              <w:t>stages in procurements, taking a lead where appropriate</w:t>
            </w:r>
            <w:r w:rsidR="006E42D4">
              <w:rPr>
                <w:rFonts w:ascii="Arial" w:hAnsi="Arial" w:cs="Arial"/>
              </w:rPr>
              <w:t xml:space="preserve">, </w:t>
            </w:r>
            <w:proofErr w:type="gramStart"/>
            <w:r w:rsidR="006E42D4">
              <w:rPr>
                <w:rFonts w:ascii="Arial" w:hAnsi="Arial" w:cs="Arial"/>
              </w:rPr>
              <w:t>i.e.</w:t>
            </w:r>
            <w:proofErr w:type="gramEnd"/>
            <w:r w:rsidR="006E42D4">
              <w:rPr>
                <w:rFonts w:ascii="Arial" w:hAnsi="Arial" w:cs="Arial"/>
              </w:rPr>
              <w:t xml:space="preserve"> s</w:t>
            </w:r>
            <w:r w:rsidR="006E42D4" w:rsidRPr="005D185C">
              <w:rPr>
                <w:rFonts w:ascii="Arial" w:hAnsi="Arial" w:cs="Arial"/>
              </w:rPr>
              <w:t xml:space="preserve">upport any negotiation or dialogue as part of any procurement processes being </w:t>
            </w:r>
            <w:r w:rsidR="006E42D4">
              <w:rPr>
                <w:rFonts w:ascii="Arial" w:hAnsi="Arial" w:cs="Arial"/>
              </w:rPr>
              <w:t>delivered</w:t>
            </w:r>
            <w:r w:rsidR="006E42D4" w:rsidRPr="005D185C">
              <w:rPr>
                <w:rFonts w:ascii="Arial" w:hAnsi="Arial" w:cs="Arial"/>
              </w:rPr>
              <w:t xml:space="preserve"> by other team members.</w:t>
            </w:r>
          </w:p>
          <w:p w14:paraId="3E3291C8" w14:textId="77777777" w:rsidR="000008AA" w:rsidRPr="000008AA" w:rsidRDefault="000008AA" w:rsidP="00253AF7">
            <w:pPr>
              <w:pStyle w:val="ListParagraph"/>
              <w:rPr>
                <w:rFonts w:ascii="Arial" w:hAnsi="Arial" w:cs="Arial"/>
              </w:rPr>
            </w:pPr>
          </w:p>
          <w:p w14:paraId="350F6EF0" w14:textId="77777777" w:rsidR="006E42D4" w:rsidRDefault="000008AA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E42D4">
              <w:rPr>
                <w:rFonts w:ascii="Arial" w:hAnsi="Arial" w:cs="Arial"/>
              </w:rPr>
              <w:t xml:space="preserve">Support and lead on the development of specific commercial strategies </w:t>
            </w:r>
            <w:r w:rsidR="006E42D4" w:rsidRPr="006E42D4">
              <w:rPr>
                <w:rFonts w:ascii="Arial" w:hAnsi="Arial" w:cs="Arial"/>
              </w:rPr>
              <w:t>on specific contracts or areas of spend</w:t>
            </w:r>
            <w:r w:rsidR="007F2F4A">
              <w:rPr>
                <w:rFonts w:ascii="Arial" w:hAnsi="Arial" w:cs="Arial"/>
              </w:rPr>
              <w:t xml:space="preserve"> (or support Heads of Category with category strategy development and implementation)</w:t>
            </w:r>
            <w:r w:rsidR="006E42D4" w:rsidRPr="006E42D4">
              <w:rPr>
                <w:rFonts w:ascii="Arial" w:hAnsi="Arial" w:cs="Arial"/>
              </w:rPr>
              <w:t>.</w:t>
            </w:r>
          </w:p>
          <w:p w14:paraId="2C1FB964" w14:textId="77777777" w:rsidR="006E42D4" w:rsidRPr="006E42D4" w:rsidRDefault="006E42D4" w:rsidP="00253AF7">
            <w:pPr>
              <w:pStyle w:val="ListParagraph"/>
              <w:rPr>
                <w:rFonts w:ascii="Arial" w:hAnsi="Arial" w:cs="Arial"/>
              </w:rPr>
            </w:pPr>
          </w:p>
          <w:p w14:paraId="581800C0" w14:textId="77777777" w:rsidR="00715E8F" w:rsidRPr="005D185C" w:rsidRDefault="00715E8F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>Manage and deliver a rolling programme of current contract reviews and negotiations, ensuring all commercial opportunities are delivered against</w:t>
            </w:r>
            <w:r w:rsidR="008023B2">
              <w:rPr>
                <w:rFonts w:ascii="Arial" w:hAnsi="Arial" w:cs="Arial"/>
              </w:rPr>
              <w:t xml:space="preserve"> in full.</w:t>
            </w:r>
          </w:p>
          <w:p w14:paraId="2BE1B445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CCD91D6" w14:textId="77777777" w:rsidR="00715E8F" w:rsidRPr="005D185C" w:rsidRDefault="00715E8F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 xml:space="preserve">Ensure all contracts with an allocated portfolio remain within budget and deliver agreed </w:t>
            </w:r>
            <w:r w:rsidR="008023B2">
              <w:rPr>
                <w:rFonts w:ascii="Arial" w:hAnsi="Arial" w:cs="Arial"/>
              </w:rPr>
              <w:t xml:space="preserve">budget </w:t>
            </w:r>
            <w:r w:rsidRPr="005D185C">
              <w:rPr>
                <w:rFonts w:ascii="Arial" w:hAnsi="Arial" w:cs="Arial"/>
              </w:rPr>
              <w:t>savings and efficiencies.</w:t>
            </w:r>
          </w:p>
          <w:p w14:paraId="45607F41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1FEC984" w14:textId="77777777" w:rsidR="005D185C" w:rsidRPr="005D185C" w:rsidRDefault="005D185C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 xml:space="preserve">Ensure supplier relationship are developed, </w:t>
            </w:r>
            <w:proofErr w:type="gramStart"/>
            <w:r w:rsidRPr="005D185C">
              <w:rPr>
                <w:rFonts w:ascii="Arial" w:hAnsi="Arial" w:cs="Arial"/>
              </w:rPr>
              <w:t>in particular with</w:t>
            </w:r>
            <w:proofErr w:type="gramEnd"/>
            <w:r w:rsidRPr="005D185C">
              <w:rPr>
                <w:rFonts w:ascii="Arial" w:hAnsi="Arial" w:cs="Arial"/>
              </w:rPr>
              <w:t xml:space="preserve"> ‘strategic’ suppliers, to increase value and reduce cost of service to the Council by understanding how the supplier service roadmap benefits the Council’s aspirations.</w:t>
            </w:r>
          </w:p>
          <w:p w14:paraId="46858BD1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C51B9FB" w14:textId="77B9E68A" w:rsidR="005D185C" w:rsidRPr="005D185C" w:rsidRDefault="005D185C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 xml:space="preserve">Monitoring of supplier performance measures throughout the whole lifecycle; on-boarding through to exit. Acting as an escalation point for identified issues and working with supplier, </w:t>
            </w:r>
            <w:proofErr w:type="gramStart"/>
            <w:r w:rsidRPr="005D185C">
              <w:rPr>
                <w:rFonts w:ascii="Arial" w:hAnsi="Arial" w:cs="Arial"/>
              </w:rPr>
              <w:t>procurement</w:t>
            </w:r>
            <w:proofErr w:type="gramEnd"/>
            <w:r w:rsidRPr="005D185C">
              <w:rPr>
                <w:rFonts w:ascii="Arial" w:hAnsi="Arial" w:cs="Arial"/>
              </w:rPr>
              <w:t xml:space="preserve"> and operational teams to resolve.</w:t>
            </w:r>
          </w:p>
          <w:p w14:paraId="3658789F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B184C91" w14:textId="77777777" w:rsidR="00715E8F" w:rsidRPr="005D185C" w:rsidRDefault="00715E8F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>Ensure that all contracts adhere to Hub governance and reporting arrangements (</w:t>
            </w:r>
            <w:proofErr w:type="gramStart"/>
            <w:r w:rsidRPr="005D185C">
              <w:rPr>
                <w:rFonts w:ascii="Arial" w:hAnsi="Arial" w:cs="Arial"/>
              </w:rPr>
              <w:t>i.e.</w:t>
            </w:r>
            <w:proofErr w:type="gramEnd"/>
            <w:r w:rsidRPr="005D185C">
              <w:rPr>
                <w:rFonts w:ascii="Arial" w:hAnsi="Arial" w:cs="Arial"/>
              </w:rPr>
              <w:t xml:space="preserve"> KPI</w:t>
            </w:r>
            <w:r w:rsidR="00D25945">
              <w:rPr>
                <w:rFonts w:ascii="Arial" w:hAnsi="Arial" w:cs="Arial"/>
              </w:rPr>
              <w:t xml:space="preserve"> reporting</w:t>
            </w:r>
            <w:r w:rsidRPr="005D185C">
              <w:rPr>
                <w:rFonts w:ascii="Arial" w:hAnsi="Arial" w:cs="Arial"/>
              </w:rPr>
              <w:t xml:space="preserve"> and Annual Reviews</w:t>
            </w:r>
            <w:r w:rsidR="00D25945">
              <w:rPr>
                <w:rFonts w:ascii="Arial" w:hAnsi="Arial" w:cs="Arial"/>
              </w:rPr>
              <w:t xml:space="preserve"> for contracts boards</w:t>
            </w:r>
            <w:r w:rsidRPr="005D185C">
              <w:rPr>
                <w:rFonts w:ascii="Arial" w:hAnsi="Arial" w:cs="Arial"/>
              </w:rPr>
              <w:t>).</w:t>
            </w:r>
          </w:p>
          <w:p w14:paraId="6E3E4A96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6C05CB1" w14:textId="77777777" w:rsidR="005D185C" w:rsidRPr="005D185C" w:rsidRDefault="00715E8F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>Carry out regular auditing of contractual arrangements and performance management regimes for all portfolio contracts, including service improvement work with partners to address performance issues.</w:t>
            </w:r>
          </w:p>
          <w:p w14:paraId="7CB0EA68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A1D9E81" w14:textId="31CE23D6" w:rsidR="00715E8F" w:rsidRPr="005D185C" w:rsidRDefault="007471B5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</w:t>
            </w:r>
            <w:r w:rsidR="005D185C" w:rsidRPr="005D185C">
              <w:rPr>
                <w:rFonts w:ascii="Arial" w:hAnsi="Arial" w:cs="Arial"/>
              </w:rPr>
              <w:t xml:space="preserve">ound supplier management insight is provided into </w:t>
            </w:r>
            <w:r w:rsidR="00715E8F" w:rsidRPr="005D185C">
              <w:rPr>
                <w:rFonts w:ascii="Arial" w:hAnsi="Arial" w:cs="Arial"/>
              </w:rPr>
              <w:t>in re-shaping future service delivery models and procurement exercises, supporting Hub colleagues to create relevant commercial and category strategies.</w:t>
            </w:r>
          </w:p>
          <w:p w14:paraId="4D56851E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B3DA9F7" w14:textId="77777777" w:rsidR="002035F6" w:rsidRPr="005D185C" w:rsidRDefault="00337CF5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>Build and develop relationships</w:t>
            </w:r>
            <w:r w:rsidR="002035F6" w:rsidRPr="005D185C">
              <w:rPr>
                <w:rFonts w:ascii="Arial" w:hAnsi="Arial" w:cs="Arial"/>
              </w:rPr>
              <w:t xml:space="preserve"> with key stakeholders to assist in breaking down barriers with service areas</w:t>
            </w:r>
            <w:r w:rsidRPr="005D185C">
              <w:rPr>
                <w:rFonts w:ascii="Arial" w:hAnsi="Arial" w:cs="Arial"/>
              </w:rPr>
              <w:t>, deliver effective advice and support delivery of service area business plans</w:t>
            </w:r>
            <w:r w:rsidR="00715E8F" w:rsidRPr="005D185C">
              <w:rPr>
                <w:rFonts w:ascii="Arial" w:hAnsi="Arial" w:cs="Arial"/>
              </w:rPr>
              <w:t>, budget savings and efficiency improvements</w:t>
            </w:r>
            <w:r w:rsidRPr="005D185C">
              <w:rPr>
                <w:rFonts w:ascii="Arial" w:hAnsi="Arial" w:cs="Arial"/>
              </w:rPr>
              <w:t>.</w:t>
            </w:r>
          </w:p>
          <w:p w14:paraId="57AE28F1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F6598F1" w14:textId="77777777" w:rsidR="00715E8F" w:rsidRPr="005D185C" w:rsidRDefault="00337CF5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>Research</w:t>
            </w:r>
            <w:r w:rsidR="002035F6" w:rsidRPr="005D185C">
              <w:rPr>
                <w:rFonts w:ascii="Arial" w:hAnsi="Arial" w:cs="Arial"/>
              </w:rPr>
              <w:t xml:space="preserve"> areas of the Council spend </w:t>
            </w:r>
            <w:r w:rsidR="00C04EBB" w:rsidRPr="005D185C">
              <w:rPr>
                <w:rFonts w:ascii="Arial" w:hAnsi="Arial" w:cs="Arial"/>
              </w:rPr>
              <w:t xml:space="preserve">(for example through spend and market analysis) </w:t>
            </w:r>
            <w:r w:rsidR="002035F6" w:rsidRPr="005D185C">
              <w:rPr>
                <w:rFonts w:ascii="Arial" w:hAnsi="Arial" w:cs="Arial"/>
              </w:rPr>
              <w:t>that will lead to the establishment of further efficiencies for the whole Council.</w:t>
            </w:r>
          </w:p>
          <w:p w14:paraId="07A924E7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EF9731A" w14:textId="77777777" w:rsidR="00A60761" w:rsidRPr="005D185C" w:rsidRDefault="00A60761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 xml:space="preserve">Support </w:t>
            </w:r>
            <w:r w:rsidR="00186B6F" w:rsidRPr="005D185C">
              <w:rPr>
                <w:rFonts w:ascii="Arial" w:hAnsi="Arial" w:cs="Arial"/>
              </w:rPr>
              <w:t xml:space="preserve">the </w:t>
            </w:r>
            <w:r w:rsidRPr="005D185C">
              <w:rPr>
                <w:rFonts w:ascii="Arial" w:hAnsi="Arial" w:cs="Arial"/>
              </w:rPr>
              <w:t xml:space="preserve">development of Key Performance Indicators, </w:t>
            </w:r>
            <w:proofErr w:type="gramStart"/>
            <w:r w:rsidRPr="005D185C">
              <w:rPr>
                <w:rFonts w:ascii="Arial" w:hAnsi="Arial" w:cs="Arial"/>
              </w:rPr>
              <w:t>specifications</w:t>
            </w:r>
            <w:proofErr w:type="gramEnd"/>
            <w:r w:rsidR="00186B6F" w:rsidRPr="005D185C">
              <w:rPr>
                <w:rFonts w:ascii="Arial" w:hAnsi="Arial" w:cs="Arial"/>
              </w:rPr>
              <w:t xml:space="preserve"> and pricing m</w:t>
            </w:r>
            <w:r w:rsidRPr="005D185C">
              <w:rPr>
                <w:rFonts w:ascii="Arial" w:hAnsi="Arial" w:cs="Arial"/>
              </w:rPr>
              <w:t xml:space="preserve">odels for </w:t>
            </w:r>
            <w:r w:rsidR="00186B6F" w:rsidRPr="005D185C">
              <w:rPr>
                <w:rFonts w:ascii="Arial" w:hAnsi="Arial" w:cs="Arial"/>
              </w:rPr>
              <w:t>procurement</w:t>
            </w:r>
            <w:r w:rsidRPr="005D185C">
              <w:rPr>
                <w:rFonts w:ascii="Arial" w:hAnsi="Arial" w:cs="Arial"/>
              </w:rPr>
              <w:t xml:space="preserve"> activities</w:t>
            </w:r>
            <w:r w:rsidR="00186B6F" w:rsidRPr="005D185C">
              <w:rPr>
                <w:rFonts w:ascii="Arial" w:hAnsi="Arial" w:cs="Arial"/>
              </w:rPr>
              <w:t>.</w:t>
            </w:r>
          </w:p>
          <w:p w14:paraId="42C1ADB2" w14:textId="77777777" w:rsidR="007471B5" w:rsidRPr="006E42D4" w:rsidRDefault="007471B5" w:rsidP="00253AF7">
            <w:pPr>
              <w:rPr>
                <w:rFonts w:ascii="Arial" w:hAnsi="Arial" w:cs="Arial"/>
              </w:rPr>
            </w:pPr>
          </w:p>
          <w:p w14:paraId="1B316C3E" w14:textId="77777777" w:rsidR="00DA0CBA" w:rsidRDefault="00DA0CBA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212538D" w14:textId="77777777" w:rsidR="00AC338C" w:rsidRDefault="00AC338C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85C">
              <w:rPr>
                <w:rFonts w:ascii="Arial" w:hAnsi="Arial" w:cs="Arial"/>
              </w:rPr>
              <w:t>Direct and lead the appraisal and evaluation of contractual claims and any subsequent dispute resolution processes, including making clear and robust recommendations for settling claims</w:t>
            </w:r>
            <w:r w:rsidR="002C58A0">
              <w:rPr>
                <w:rFonts w:ascii="Arial" w:hAnsi="Arial" w:cs="Arial"/>
              </w:rPr>
              <w:t>.</w:t>
            </w:r>
          </w:p>
          <w:p w14:paraId="607F32BE" w14:textId="77777777" w:rsidR="002C58A0" w:rsidRPr="008A12E8" w:rsidRDefault="002C58A0" w:rsidP="00253AF7">
            <w:pPr>
              <w:rPr>
                <w:rFonts w:ascii="Arial" w:hAnsi="Arial" w:cs="Arial"/>
              </w:rPr>
            </w:pPr>
          </w:p>
          <w:p w14:paraId="0ACA8987" w14:textId="77777777" w:rsidR="00AC338C" w:rsidRPr="00715E8F" w:rsidRDefault="00AC338C" w:rsidP="00253AF7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170AC61B" w14:textId="77777777" w:rsidR="00AC338C" w:rsidRPr="00C03E7C" w:rsidRDefault="00C03E7C" w:rsidP="00253AF7">
            <w:pPr>
              <w:pStyle w:val="Default"/>
              <w:pageBreakBefore/>
              <w:rPr>
                <w:rFonts w:ascii="Arial" w:hAnsi="Arial" w:cs="Arial"/>
                <w:b/>
                <w:color w:val="auto"/>
              </w:rPr>
            </w:pPr>
            <w:r w:rsidRPr="00C03E7C">
              <w:rPr>
                <w:rFonts w:ascii="Arial" w:hAnsi="Arial" w:cs="Arial"/>
                <w:b/>
                <w:color w:val="auto"/>
              </w:rPr>
              <w:t xml:space="preserve">If (directly) operationally managing a </w:t>
            </w:r>
            <w:r w:rsidR="00EC34BA">
              <w:rPr>
                <w:rFonts w:ascii="Arial" w:hAnsi="Arial" w:cs="Arial"/>
                <w:b/>
                <w:color w:val="auto"/>
              </w:rPr>
              <w:t>‘</w:t>
            </w:r>
            <w:r w:rsidRPr="00C03E7C">
              <w:rPr>
                <w:rFonts w:ascii="Arial" w:hAnsi="Arial" w:cs="Arial"/>
                <w:b/>
                <w:color w:val="auto"/>
              </w:rPr>
              <w:t>strategic</w:t>
            </w:r>
            <w:r w:rsidR="00EC34BA">
              <w:rPr>
                <w:rFonts w:ascii="Arial" w:hAnsi="Arial" w:cs="Arial"/>
                <w:b/>
                <w:color w:val="auto"/>
              </w:rPr>
              <w:t>’</w:t>
            </w:r>
            <w:r w:rsidRPr="00C03E7C">
              <w:rPr>
                <w:rFonts w:ascii="Arial" w:hAnsi="Arial" w:cs="Arial"/>
                <w:b/>
                <w:color w:val="auto"/>
              </w:rPr>
              <w:t xml:space="preserve"> Commercial Hub contract</w:t>
            </w:r>
            <w:r w:rsidR="0046382B">
              <w:rPr>
                <w:rFonts w:ascii="Arial" w:hAnsi="Arial" w:cs="Arial"/>
                <w:b/>
                <w:color w:val="auto"/>
              </w:rPr>
              <w:t xml:space="preserve"> also</w:t>
            </w:r>
            <w:r w:rsidRPr="00C03E7C">
              <w:rPr>
                <w:rFonts w:ascii="Arial" w:hAnsi="Arial" w:cs="Arial"/>
                <w:b/>
                <w:color w:val="auto"/>
              </w:rPr>
              <w:t>:</w:t>
            </w:r>
          </w:p>
          <w:p w14:paraId="135EA6EB" w14:textId="77777777" w:rsidR="00C03E7C" w:rsidRDefault="00C03E7C" w:rsidP="00253AF7">
            <w:pPr>
              <w:pStyle w:val="Default"/>
              <w:pageBreakBefore/>
              <w:rPr>
                <w:rFonts w:ascii="Arial" w:hAnsi="Arial" w:cs="Arial"/>
                <w:color w:val="auto"/>
              </w:rPr>
            </w:pPr>
          </w:p>
          <w:p w14:paraId="3136462F" w14:textId="77777777" w:rsidR="00C03E7C" w:rsidRDefault="00C03E7C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03E7C">
              <w:rPr>
                <w:rFonts w:ascii="Arial" w:hAnsi="Arial" w:cs="Arial"/>
              </w:rPr>
              <w:t xml:space="preserve">Manage the specified contract according to </w:t>
            </w:r>
            <w:r w:rsidRPr="00C03E7C">
              <w:rPr>
                <w:rFonts w:ascii="Arial" w:eastAsia="Calibri" w:hAnsi="Arial" w:cs="Arial"/>
              </w:rPr>
              <w:t>best practice Supplier Relationship Management processes per the Council’s Contract Management Toolkit guidelines</w:t>
            </w:r>
            <w:r w:rsidRPr="00C03E7C">
              <w:rPr>
                <w:rFonts w:ascii="Arial" w:hAnsi="Arial" w:cs="Arial"/>
              </w:rPr>
              <w:t>.</w:t>
            </w:r>
          </w:p>
          <w:p w14:paraId="0A2F577D" w14:textId="77777777" w:rsidR="00AC338C" w:rsidRPr="00715E8F" w:rsidRDefault="00AC338C" w:rsidP="00253AF7">
            <w:pPr>
              <w:ind w:left="432"/>
              <w:rPr>
                <w:rFonts w:ascii="Arial" w:hAnsi="Arial" w:cs="Arial"/>
              </w:rPr>
            </w:pPr>
          </w:p>
          <w:p w14:paraId="553C04CA" w14:textId="77777777" w:rsidR="00EA3D87" w:rsidRPr="006E42D4" w:rsidRDefault="00EA3D87" w:rsidP="00253AF7">
            <w:pPr>
              <w:rPr>
                <w:rFonts w:ascii="Arial" w:hAnsi="Arial" w:cs="Arial"/>
                <w:b/>
              </w:rPr>
            </w:pPr>
            <w:r w:rsidRPr="006E42D4">
              <w:rPr>
                <w:rFonts w:ascii="Arial" w:hAnsi="Arial" w:cs="Arial"/>
                <w:b/>
              </w:rPr>
              <w:t>Additional Requirements</w:t>
            </w:r>
          </w:p>
          <w:p w14:paraId="09862827" w14:textId="77777777" w:rsidR="00EA3D87" w:rsidRDefault="00EA3D87" w:rsidP="00253A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E42D4">
              <w:rPr>
                <w:rFonts w:ascii="Arial" w:hAnsi="Arial" w:cs="Arial"/>
              </w:rPr>
              <w:t>Other duties and responsibilities of a similar professional and complexity as required.</w:t>
            </w:r>
          </w:p>
          <w:p w14:paraId="7A90A3ED" w14:textId="4C418B34" w:rsidR="00253AF7" w:rsidRPr="006E42D4" w:rsidRDefault="00253AF7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A0CBA" w:rsidRPr="00DA0CBA" w14:paraId="5B727AED" w14:textId="77777777" w:rsidTr="004C24A2">
        <w:trPr>
          <w:trHeight w:val="2443"/>
        </w:trPr>
        <w:tc>
          <w:tcPr>
            <w:tcW w:w="9540" w:type="dxa"/>
            <w:vAlign w:val="center"/>
          </w:tcPr>
          <w:p w14:paraId="51E67752" w14:textId="2AB6717F" w:rsidR="00F5047B" w:rsidRDefault="00F5047B" w:rsidP="00FC14C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44019B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KEY PERFORMANCE INDICATORS:      </w:t>
            </w:r>
          </w:p>
          <w:p w14:paraId="342CEB4E" w14:textId="77777777" w:rsidR="00253AF7" w:rsidRPr="0044019B" w:rsidRDefault="00253AF7" w:rsidP="00FC14C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</w:p>
          <w:p w14:paraId="117C60CE" w14:textId="77777777" w:rsidR="0044019B" w:rsidRPr="007471B5" w:rsidRDefault="0044019B" w:rsidP="006E42D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Council Medium Term Financial Strategy Budget Savings and Cost Avoidance relating to contracts</w:t>
            </w:r>
            <w:r w:rsidR="007471B5">
              <w:rPr>
                <w:rFonts w:ascii="Arial" w:hAnsi="Arial" w:cs="Arial"/>
              </w:rPr>
              <w:t>.</w:t>
            </w:r>
          </w:p>
          <w:p w14:paraId="6B9A7468" w14:textId="77777777" w:rsidR="0044019B" w:rsidRPr="007471B5" w:rsidRDefault="0044019B" w:rsidP="006E42D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Contract/Service Key Performance Indicators and Outcomes</w:t>
            </w:r>
            <w:r w:rsidR="007471B5">
              <w:rPr>
                <w:rFonts w:ascii="Arial" w:hAnsi="Arial" w:cs="Arial"/>
              </w:rPr>
              <w:t>.</w:t>
            </w:r>
            <w:r w:rsidRPr="007471B5">
              <w:rPr>
                <w:rFonts w:ascii="Arial" w:hAnsi="Arial" w:cs="Arial"/>
              </w:rPr>
              <w:t xml:space="preserve"> </w:t>
            </w:r>
          </w:p>
          <w:p w14:paraId="1F70B51E" w14:textId="77777777" w:rsidR="0044019B" w:rsidRPr="007471B5" w:rsidRDefault="0044019B" w:rsidP="006E42D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On-Contract Spend and Active Supplier Reduction figures</w:t>
            </w:r>
            <w:r w:rsidR="007471B5">
              <w:rPr>
                <w:rFonts w:ascii="Arial" w:hAnsi="Arial" w:cs="Arial"/>
              </w:rPr>
              <w:t>.</w:t>
            </w:r>
          </w:p>
          <w:p w14:paraId="41E0F2C6" w14:textId="77777777" w:rsidR="0044019B" w:rsidRPr="007471B5" w:rsidRDefault="0044019B" w:rsidP="006E42D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Savings, Service Improvements and Efficiencies negotiated with suppliers</w:t>
            </w:r>
            <w:r w:rsidR="007471B5">
              <w:rPr>
                <w:rFonts w:ascii="Arial" w:hAnsi="Arial" w:cs="Arial"/>
              </w:rPr>
              <w:t>.</w:t>
            </w:r>
          </w:p>
          <w:p w14:paraId="6DCE7C94" w14:textId="77777777" w:rsidR="007471B5" w:rsidRDefault="0044019B" w:rsidP="006E42D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 xml:space="preserve">Directorate </w:t>
            </w:r>
            <w:r w:rsidR="007471B5" w:rsidRPr="007471B5">
              <w:rPr>
                <w:rFonts w:ascii="Arial" w:hAnsi="Arial" w:cs="Arial"/>
              </w:rPr>
              <w:t xml:space="preserve">contract-related </w:t>
            </w:r>
            <w:r w:rsidR="007471B5">
              <w:rPr>
                <w:rFonts w:ascii="Arial" w:hAnsi="Arial" w:cs="Arial"/>
              </w:rPr>
              <w:t>governance compliance.</w:t>
            </w:r>
          </w:p>
          <w:p w14:paraId="258E3420" w14:textId="77777777" w:rsidR="00F5047B" w:rsidRPr="007471B5" w:rsidRDefault="0044019B" w:rsidP="006E42D4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Client Satisfaction Survey results</w:t>
            </w:r>
            <w:r w:rsidR="007471B5">
              <w:rPr>
                <w:rFonts w:ascii="Arial" w:hAnsi="Arial" w:cs="Arial"/>
              </w:rPr>
              <w:t>.</w:t>
            </w:r>
          </w:p>
        </w:tc>
      </w:tr>
      <w:tr w:rsidR="00F5047B" w14:paraId="288FB728" w14:textId="77777777" w:rsidTr="00C43A65">
        <w:trPr>
          <w:trHeight w:val="3676"/>
        </w:trPr>
        <w:tc>
          <w:tcPr>
            <w:tcW w:w="9540" w:type="dxa"/>
            <w:vAlign w:val="center"/>
          </w:tcPr>
          <w:p w14:paraId="51E2C4FE" w14:textId="3A4BE4D4" w:rsidR="00CE53C3" w:rsidRDefault="00F5047B" w:rsidP="00FC14C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KEY RELATIONSHIPS (INTERNAL AND EXTERNAL):</w:t>
            </w:r>
          </w:p>
          <w:p w14:paraId="0C967C86" w14:textId="77777777" w:rsidR="00253AF7" w:rsidRPr="00FC14C2" w:rsidRDefault="00253AF7" w:rsidP="00FC14C2">
            <w:pPr>
              <w:rPr>
                <w:rFonts w:ascii="Arial" w:hAnsi="Arial" w:cs="Arial"/>
                <w:b/>
                <w:szCs w:val="22"/>
              </w:rPr>
            </w:pPr>
          </w:p>
          <w:p w14:paraId="03AC1786" w14:textId="77777777" w:rsidR="00CE53C3" w:rsidRPr="001D3D75" w:rsidRDefault="00CE53C3" w:rsidP="006E42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</w:rPr>
            </w:pPr>
            <w:r w:rsidRPr="001D3D75">
              <w:rPr>
                <w:rFonts w:ascii="Arial" w:hAnsi="Arial" w:cs="Arial"/>
              </w:rPr>
              <w:t>Executive and Service Directors</w:t>
            </w:r>
          </w:p>
          <w:p w14:paraId="7C0F1B96" w14:textId="77777777" w:rsidR="00CE53C3" w:rsidRPr="001D3D75" w:rsidRDefault="00CE53C3" w:rsidP="006E42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</w:rPr>
            </w:pPr>
            <w:r w:rsidRPr="001D3D75">
              <w:rPr>
                <w:rFonts w:ascii="Arial" w:hAnsi="Arial" w:cs="Arial"/>
                <w:bCs/>
              </w:rPr>
              <w:t>Internal client groups;</w:t>
            </w:r>
            <w:r w:rsidRPr="001D3D75">
              <w:rPr>
                <w:rFonts w:ascii="Arial" w:hAnsi="Arial" w:cs="Arial"/>
              </w:rPr>
              <w:t xml:space="preserve"> Heads of Service and key senior and contract managers</w:t>
            </w:r>
          </w:p>
          <w:p w14:paraId="6AA23443" w14:textId="77777777" w:rsidR="00CE53C3" w:rsidRPr="001D3D75" w:rsidRDefault="00CE53C3" w:rsidP="006E42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</w:rPr>
            </w:pPr>
            <w:r w:rsidRPr="001D3D75">
              <w:rPr>
                <w:rFonts w:ascii="Arial" w:hAnsi="Arial" w:cs="Arial"/>
              </w:rPr>
              <w:t>E</w:t>
            </w:r>
            <w:r w:rsidR="004F20F7" w:rsidRPr="001D3D75">
              <w:rPr>
                <w:rFonts w:ascii="Arial" w:hAnsi="Arial" w:cs="Arial"/>
              </w:rPr>
              <w:t xml:space="preserve">xternal public and private sector groups </w:t>
            </w:r>
          </w:p>
          <w:p w14:paraId="6BBBE865" w14:textId="77777777" w:rsidR="00CE53C3" w:rsidRPr="001D3D75" w:rsidRDefault="00CE53C3" w:rsidP="006E42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</w:rPr>
            </w:pPr>
            <w:r w:rsidRPr="001D3D75">
              <w:rPr>
                <w:rFonts w:ascii="Arial" w:hAnsi="Arial" w:cs="Arial"/>
              </w:rPr>
              <w:t>S</w:t>
            </w:r>
            <w:r w:rsidR="004F20F7" w:rsidRPr="001D3D75">
              <w:rPr>
                <w:rFonts w:ascii="Arial" w:hAnsi="Arial" w:cs="Arial"/>
              </w:rPr>
              <w:t>takeholder groups</w:t>
            </w:r>
            <w:r w:rsidRPr="001D3D75">
              <w:rPr>
                <w:rFonts w:ascii="Arial" w:hAnsi="Arial" w:cs="Arial"/>
              </w:rPr>
              <w:t xml:space="preserve"> and </w:t>
            </w:r>
            <w:r w:rsidR="004F20F7" w:rsidRPr="001D3D75">
              <w:rPr>
                <w:rFonts w:ascii="Arial" w:hAnsi="Arial" w:cs="Arial"/>
              </w:rPr>
              <w:t>networks</w:t>
            </w:r>
          </w:p>
          <w:p w14:paraId="22CF66C6" w14:textId="77777777" w:rsidR="00E302C1" w:rsidRPr="001D3D75" w:rsidRDefault="00173489" w:rsidP="006E42D4">
            <w:pPr>
              <w:numPr>
                <w:ilvl w:val="0"/>
                <w:numId w:val="9"/>
              </w:num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Commercial Hub</w:t>
            </w:r>
          </w:p>
          <w:p w14:paraId="09A68BFB" w14:textId="77777777" w:rsidR="00FC14C2" w:rsidRPr="001D3D75" w:rsidRDefault="00FC14C2" w:rsidP="006E42D4">
            <w:pPr>
              <w:numPr>
                <w:ilvl w:val="0"/>
                <w:numId w:val="9"/>
              </w:numPr>
              <w:spacing w:after="120"/>
              <w:rPr>
                <w:rFonts w:ascii="Arial" w:hAnsi="Arial"/>
              </w:rPr>
            </w:pPr>
            <w:r w:rsidRPr="001D3D75">
              <w:rPr>
                <w:rFonts w:ascii="Arial" w:hAnsi="Arial"/>
              </w:rPr>
              <w:t>Legal and Democratic Services</w:t>
            </w:r>
          </w:p>
          <w:p w14:paraId="5554CBB0" w14:textId="77777777" w:rsidR="00FC14C2" w:rsidRPr="001D3D75" w:rsidRDefault="00FC14C2" w:rsidP="006E42D4">
            <w:pPr>
              <w:numPr>
                <w:ilvl w:val="0"/>
                <w:numId w:val="9"/>
              </w:numPr>
              <w:spacing w:after="120"/>
              <w:rPr>
                <w:rFonts w:ascii="Arial" w:hAnsi="Arial"/>
              </w:rPr>
            </w:pPr>
            <w:r w:rsidRPr="001D3D75">
              <w:rPr>
                <w:rFonts w:ascii="Arial" w:hAnsi="Arial"/>
              </w:rPr>
              <w:t>Key suppliers</w:t>
            </w:r>
          </w:p>
          <w:p w14:paraId="3116FEEC" w14:textId="77777777" w:rsidR="00AA2DAB" w:rsidRPr="00ED6251" w:rsidRDefault="00FC14C2" w:rsidP="006E42D4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</w:rPr>
            </w:pPr>
            <w:r w:rsidRPr="001D3D75">
              <w:rPr>
                <w:rFonts w:ascii="Arial" w:hAnsi="Arial"/>
              </w:rPr>
              <w:t>Corporate Finance</w:t>
            </w:r>
          </w:p>
          <w:p w14:paraId="5A3E715C" w14:textId="77777777" w:rsidR="00ED6251" w:rsidRPr="00CE53C3" w:rsidRDefault="00ED6251" w:rsidP="006E42D4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</w:rPr>
            </w:pPr>
            <w:r w:rsidRPr="00976413">
              <w:rPr>
                <w:rFonts w:ascii="Arial" w:hAnsi="Arial"/>
              </w:rPr>
              <w:t xml:space="preserve">Ensure clear Service Level Agreements are in place covering all aspects of service delivery, with performance, response times and escalation process if appropriate. </w:t>
            </w:r>
          </w:p>
        </w:tc>
      </w:tr>
      <w:tr w:rsidR="00F5047B" w14:paraId="7D560827" w14:textId="77777777" w:rsidTr="004C24A2">
        <w:trPr>
          <w:trHeight w:val="4088"/>
        </w:trPr>
        <w:tc>
          <w:tcPr>
            <w:tcW w:w="9540" w:type="dxa"/>
            <w:vAlign w:val="center"/>
          </w:tcPr>
          <w:p w14:paraId="2C72401D" w14:textId="0433DC8D" w:rsidR="00F5047B" w:rsidRDefault="00F5047B" w:rsidP="00976413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AUTHORITY LEVEL (PEOPLE, POLICY, FINANCIAL): </w:t>
            </w:r>
          </w:p>
          <w:p w14:paraId="54A0C5B8" w14:textId="77777777" w:rsidR="00253AF7" w:rsidRDefault="00253AF7" w:rsidP="0097641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3612766C" w14:textId="77777777" w:rsidR="00F5047B" w:rsidRPr="007471B5" w:rsidRDefault="00DA0CBA" w:rsidP="006E42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I</w:t>
            </w:r>
            <w:r w:rsidR="00FC14C2" w:rsidRPr="007471B5">
              <w:rPr>
                <w:rFonts w:ascii="Arial" w:hAnsi="Arial" w:cs="Arial"/>
              </w:rPr>
              <w:t>ndirect management within team structure</w:t>
            </w:r>
            <w:r w:rsidR="001E5B85" w:rsidRPr="007471B5">
              <w:rPr>
                <w:rFonts w:ascii="Arial" w:hAnsi="Arial" w:cs="Arial"/>
              </w:rPr>
              <w:t xml:space="preserve"> and in accordance with all HR policies</w:t>
            </w:r>
            <w:r w:rsidR="00FC14C2" w:rsidRPr="007471B5">
              <w:rPr>
                <w:rFonts w:ascii="Arial" w:hAnsi="Arial" w:cs="Arial"/>
              </w:rPr>
              <w:t>.</w:t>
            </w:r>
          </w:p>
          <w:p w14:paraId="7D55D78F" w14:textId="77777777" w:rsidR="007471B5" w:rsidRDefault="007471B5" w:rsidP="007471B5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613B9058" w14:textId="2A999EF6" w:rsidR="00FC14C2" w:rsidRPr="007471B5" w:rsidRDefault="00FC14C2" w:rsidP="006E42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 xml:space="preserve">Responsibility for representing </w:t>
            </w:r>
            <w:r w:rsidR="002F28C8">
              <w:rPr>
                <w:rFonts w:ascii="Arial" w:hAnsi="Arial" w:cs="Arial"/>
              </w:rPr>
              <w:t>Category Leads</w:t>
            </w:r>
            <w:r w:rsidRPr="007471B5">
              <w:rPr>
                <w:rFonts w:ascii="Arial" w:hAnsi="Arial" w:cs="Arial"/>
              </w:rPr>
              <w:t xml:space="preserve"> where appropriate.</w:t>
            </w:r>
          </w:p>
          <w:p w14:paraId="451D6280" w14:textId="77777777" w:rsidR="007471B5" w:rsidRDefault="007471B5" w:rsidP="007471B5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13589CDF" w14:textId="77777777" w:rsidR="00FC14C2" w:rsidRPr="007471B5" w:rsidRDefault="00FC14C2" w:rsidP="006E42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Development, governance</w:t>
            </w:r>
            <w:r w:rsidR="001E5B85" w:rsidRPr="007471B5">
              <w:rPr>
                <w:rFonts w:ascii="Arial" w:hAnsi="Arial" w:cs="Arial"/>
              </w:rPr>
              <w:t>, team performance</w:t>
            </w:r>
            <w:r w:rsidRPr="007471B5">
              <w:rPr>
                <w:rFonts w:ascii="Arial" w:hAnsi="Arial" w:cs="Arial"/>
              </w:rPr>
              <w:t xml:space="preserve"> an</w:t>
            </w:r>
            <w:r w:rsidR="007471B5" w:rsidRPr="007471B5">
              <w:rPr>
                <w:rFonts w:ascii="Arial" w:hAnsi="Arial" w:cs="Arial"/>
              </w:rPr>
              <w:t xml:space="preserve">d enforcing of key policies and </w:t>
            </w:r>
            <w:r w:rsidR="00AA2DAB" w:rsidRPr="007471B5">
              <w:rPr>
                <w:rFonts w:ascii="Arial" w:hAnsi="Arial" w:cs="Arial"/>
              </w:rPr>
              <w:t>regulations, including Contract Procedure Rules and scheme of delegation.</w:t>
            </w:r>
            <w:r w:rsidRPr="007471B5">
              <w:rPr>
                <w:rFonts w:ascii="Arial" w:hAnsi="Arial" w:cs="Arial"/>
              </w:rPr>
              <w:t xml:space="preserve"> </w:t>
            </w:r>
          </w:p>
          <w:p w14:paraId="4986DEB8" w14:textId="77777777" w:rsidR="007471B5" w:rsidRDefault="007471B5" w:rsidP="007471B5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561B0C2A" w14:textId="77777777" w:rsidR="00AA2DAB" w:rsidRPr="007471B5" w:rsidRDefault="00AA2DAB" w:rsidP="006E42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 xml:space="preserve">Professional direction, support and coaching of service area staff involved in contract management activities. </w:t>
            </w:r>
          </w:p>
          <w:p w14:paraId="66AE807F" w14:textId="77777777" w:rsidR="007471B5" w:rsidRDefault="007471B5" w:rsidP="007471B5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14:paraId="4F846ECA" w14:textId="77777777" w:rsidR="00AA2DAB" w:rsidRPr="007471B5" w:rsidRDefault="00AA2DAB" w:rsidP="006E42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471B5">
              <w:rPr>
                <w:rFonts w:ascii="Arial" w:hAnsi="Arial" w:cs="Arial"/>
              </w:rPr>
              <w:t>Team training expenditure and overall financial budget of department as appropriate</w:t>
            </w:r>
            <w:r w:rsidR="0089760A" w:rsidRPr="007471B5">
              <w:rPr>
                <w:rFonts w:ascii="Arial" w:hAnsi="Arial" w:cs="Arial"/>
              </w:rPr>
              <w:t xml:space="preserve"> in accordance with Council financial systems and corporate guidelines</w:t>
            </w:r>
            <w:r w:rsidRPr="007471B5">
              <w:rPr>
                <w:rFonts w:ascii="Arial" w:hAnsi="Arial" w:cs="Arial"/>
              </w:rPr>
              <w:t>.</w:t>
            </w:r>
          </w:p>
          <w:p w14:paraId="269B0F61" w14:textId="77777777" w:rsidR="007471B5" w:rsidRPr="007471B5" w:rsidRDefault="007471B5" w:rsidP="007471B5">
            <w:pPr>
              <w:pStyle w:val="ListParagraph"/>
              <w:ind w:left="360"/>
              <w:jc w:val="both"/>
            </w:pPr>
          </w:p>
          <w:p w14:paraId="25A9C778" w14:textId="77777777" w:rsidR="00F5047B" w:rsidRPr="00AA2DAB" w:rsidRDefault="00AA2DAB" w:rsidP="006E42D4">
            <w:pPr>
              <w:pStyle w:val="ListParagraph"/>
              <w:numPr>
                <w:ilvl w:val="0"/>
                <w:numId w:val="3"/>
              </w:numPr>
              <w:jc w:val="both"/>
            </w:pPr>
            <w:r w:rsidRPr="007471B5">
              <w:rPr>
                <w:rFonts w:ascii="Arial" w:hAnsi="Arial" w:cs="Arial"/>
              </w:rPr>
              <w:t xml:space="preserve">Contribution to </w:t>
            </w:r>
            <w:r w:rsidR="0017358A" w:rsidRPr="007471B5">
              <w:rPr>
                <w:rFonts w:ascii="Arial" w:hAnsi="Arial" w:cs="Arial"/>
              </w:rPr>
              <w:t>team</w:t>
            </w:r>
            <w:r w:rsidRPr="007471B5">
              <w:rPr>
                <w:rFonts w:ascii="Arial" w:hAnsi="Arial" w:cs="Arial"/>
              </w:rPr>
              <w:t xml:space="preserve"> and organisational improvement</w:t>
            </w:r>
            <w:r w:rsidR="00CA1C29" w:rsidRPr="007471B5">
              <w:rPr>
                <w:rFonts w:ascii="Arial" w:hAnsi="Arial" w:cs="Arial"/>
              </w:rPr>
              <w:t xml:space="preserve"> to ensure all team members receive communications, briefings, council priorities, vision etc</w:t>
            </w:r>
            <w:r w:rsidRPr="007471B5">
              <w:rPr>
                <w:rFonts w:ascii="Arial" w:hAnsi="Arial" w:cs="Arial"/>
              </w:rPr>
              <w:t>.</w:t>
            </w:r>
          </w:p>
        </w:tc>
      </w:tr>
    </w:tbl>
    <w:p w14:paraId="6883BDE5" w14:textId="77777777" w:rsidR="00F5047B" w:rsidRDefault="00F5047B"/>
    <w:p w14:paraId="2118F29A" w14:textId="77777777" w:rsidR="00205D7C" w:rsidRDefault="00205D7C"/>
    <w:p w14:paraId="551FD3D0" w14:textId="36CDFC09" w:rsidR="004C24A2" w:rsidRDefault="004C24A2"/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9527"/>
        <w:gridCol w:w="13"/>
      </w:tblGrid>
      <w:tr w:rsidR="00F5047B" w14:paraId="4587727C" w14:textId="77777777">
        <w:trPr>
          <w:gridAfter w:val="1"/>
          <w:wAfter w:w="13" w:type="dxa"/>
          <w:cantSplit/>
          <w:trHeight w:val="174"/>
        </w:trPr>
        <w:tc>
          <w:tcPr>
            <w:tcW w:w="9527" w:type="dxa"/>
          </w:tcPr>
          <w:p w14:paraId="410DB28C" w14:textId="77777777" w:rsidR="00F5047B" w:rsidRDefault="00F5047B" w:rsidP="004C24A2">
            <w:pPr>
              <w:pStyle w:val="Heading6"/>
              <w:rPr>
                <w:rFonts w:cs="Arial"/>
                <w:bCs/>
                <w:color w:val="auto"/>
                <w:sz w:val="36"/>
              </w:rPr>
            </w:pPr>
            <w:r>
              <w:rPr>
                <w:rFonts w:cs="Arial"/>
                <w:color w:val="auto"/>
                <w:sz w:val="20"/>
              </w:rPr>
              <w:br w:type="page"/>
            </w:r>
            <w:r w:rsidR="004C24A2" w:rsidRPr="004C24A2">
              <w:rPr>
                <w:rFonts w:cs="Arial"/>
                <w:bCs/>
                <w:color w:val="auto"/>
                <w:sz w:val="24"/>
                <w:szCs w:val="24"/>
              </w:rPr>
              <w:t>PERSON SPECIFICATION</w:t>
            </w:r>
          </w:p>
        </w:tc>
      </w:tr>
      <w:tr w:rsidR="00F5047B" w14:paraId="4578C23D" w14:textId="77777777">
        <w:trPr>
          <w:gridAfter w:val="1"/>
          <w:wAfter w:w="13" w:type="dxa"/>
          <w:cantSplit/>
          <w:trHeight w:val="174"/>
        </w:trPr>
        <w:tc>
          <w:tcPr>
            <w:tcW w:w="9527" w:type="dxa"/>
          </w:tcPr>
          <w:p w14:paraId="783FDFC7" w14:textId="77777777" w:rsidR="00F5047B" w:rsidRDefault="00F5047B" w:rsidP="00AA2DAB">
            <w:pPr>
              <w:rPr>
                <w:rFonts w:ascii="Arial" w:hAnsi="Arial" w:cs="Arial"/>
                <w:sz w:val="20"/>
              </w:rPr>
            </w:pPr>
          </w:p>
        </w:tc>
      </w:tr>
      <w:tr w:rsidR="004643DF" w14:paraId="143137F5" w14:textId="77777777" w:rsidTr="00C4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540" w:type="dxa"/>
            <w:gridSpan w:val="2"/>
            <w:vAlign w:val="center"/>
          </w:tcPr>
          <w:p w14:paraId="17942D46" w14:textId="77777777" w:rsidR="00253AF7" w:rsidRDefault="004643DF" w:rsidP="006E42D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6E42D4">
              <w:rPr>
                <w:rFonts w:ascii="Arial" w:hAnsi="Arial" w:cs="Arial"/>
                <w:b/>
                <w:szCs w:val="22"/>
              </w:rPr>
              <w:t xml:space="preserve">ESSENTIAL KNOWLEDGE, SKILLS &amp; ABILITIES:  </w:t>
            </w:r>
          </w:p>
          <w:p w14:paraId="44C07C32" w14:textId="101BDA58" w:rsidR="004643DF" w:rsidRPr="006E42D4" w:rsidRDefault="004643DF" w:rsidP="006E42D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6E42D4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769626E" w14:textId="77777777" w:rsidR="00C36744" w:rsidRPr="00C36744" w:rsidRDefault="002C58A0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36744" w:rsidRPr="00C36744">
              <w:rPr>
                <w:rFonts w:ascii="Arial" w:hAnsi="Arial" w:cs="Arial"/>
              </w:rPr>
              <w:t>nowledge and understanding of Supplier Relationship, Market Shaping, Contract Management, Financial Budgeting and Accounting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so as to</w:t>
            </w:r>
            <w:proofErr w:type="gramEnd"/>
            <w:r>
              <w:rPr>
                <w:rFonts w:ascii="Arial" w:hAnsi="Arial" w:cs="Arial"/>
              </w:rPr>
              <w:t xml:space="preserve"> drive increased value for money</w:t>
            </w:r>
            <w:r w:rsidR="00CB07CF">
              <w:rPr>
                <w:rFonts w:ascii="Arial" w:hAnsi="Arial" w:cs="Arial"/>
              </w:rPr>
              <w:t>.</w:t>
            </w:r>
          </w:p>
          <w:p w14:paraId="10F1EEC1" w14:textId="77777777" w:rsidR="00C36744" w:rsidRPr="00C36744" w:rsidRDefault="00C36744" w:rsidP="00253AF7">
            <w:pPr>
              <w:pStyle w:val="ListParagraph"/>
              <w:ind w:left="563"/>
              <w:rPr>
                <w:rFonts w:ascii="Arial" w:hAnsi="Arial" w:cs="Arial"/>
              </w:rPr>
            </w:pPr>
          </w:p>
          <w:p w14:paraId="2C611EF5" w14:textId="77777777" w:rsidR="00F87BE7" w:rsidRPr="00C36744" w:rsidRDefault="00F87BE7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36744">
              <w:rPr>
                <w:rFonts w:ascii="Arial" w:hAnsi="Arial" w:cs="Arial"/>
              </w:rPr>
              <w:t>Proven experience of:</w:t>
            </w:r>
          </w:p>
          <w:p w14:paraId="24ED635D" w14:textId="77777777" w:rsidR="00F87BE7" w:rsidRPr="00C36744" w:rsidRDefault="00C36744" w:rsidP="00253AF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C36744">
              <w:rPr>
                <w:rFonts w:ascii="Arial" w:hAnsi="Arial" w:cs="Arial"/>
              </w:rPr>
              <w:t>E</w:t>
            </w:r>
            <w:r w:rsidR="00F87BE7" w:rsidRPr="00C36744">
              <w:rPr>
                <w:rFonts w:ascii="Arial" w:hAnsi="Arial" w:cs="Arial"/>
              </w:rPr>
              <w:t>stablishing strong working relationships with suppliers and delivering value to the organisation.</w:t>
            </w:r>
          </w:p>
          <w:p w14:paraId="4209AFC4" w14:textId="77777777" w:rsidR="00F87BE7" w:rsidRPr="00C36744" w:rsidRDefault="00C36744" w:rsidP="00253AF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C36744">
              <w:rPr>
                <w:rFonts w:ascii="Arial" w:hAnsi="Arial" w:cs="Arial"/>
              </w:rPr>
              <w:t>M</w:t>
            </w:r>
            <w:r w:rsidR="00F87BE7" w:rsidRPr="00C36744">
              <w:rPr>
                <w:rFonts w:ascii="Arial" w:hAnsi="Arial" w:cs="Arial"/>
              </w:rPr>
              <w:t>anaging suppliers through the on-boarding to exit lifecycle.</w:t>
            </w:r>
          </w:p>
          <w:p w14:paraId="08A8C8E6" w14:textId="77777777" w:rsidR="00F87BE7" w:rsidRPr="00C36744" w:rsidRDefault="00C36744" w:rsidP="00253AF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C36744">
              <w:rPr>
                <w:rFonts w:ascii="Arial" w:hAnsi="Arial" w:cs="Arial"/>
              </w:rPr>
              <w:t>M</w:t>
            </w:r>
            <w:r w:rsidR="00F87BE7" w:rsidRPr="00C36744">
              <w:rPr>
                <w:rFonts w:ascii="Arial" w:hAnsi="Arial" w:cs="Arial"/>
              </w:rPr>
              <w:t>anaging issue resolution and delivering improvements.</w:t>
            </w:r>
          </w:p>
          <w:p w14:paraId="4E2FD919" w14:textId="77777777" w:rsidR="00F87BE7" w:rsidRPr="00C36744" w:rsidRDefault="00F87BE7" w:rsidP="00253AF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C36744">
              <w:rPr>
                <w:rFonts w:ascii="Arial" w:hAnsi="Arial" w:cs="Arial"/>
              </w:rPr>
              <w:t>Creating an inclusive environment where new processes or procedures based on analysis of performance with suppliers are introduced.</w:t>
            </w:r>
          </w:p>
          <w:p w14:paraId="1CA8811B" w14:textId="77777777" w:rsidR="00F87BE7" w:rsidRPr="00C36744" w:rsidRDefault="00F87BE7" w:rsidP="00253AF7">
            <w:pPr>
              <w:pStyle w:val="ListParagraph"/>
              <w:ind w:left="563"/>
              <w:rPr>
                <w:rFonts w:ascii="Arial" w:hAnsi="Arial" w:cs="Arial"/>
              </w:rPr>
            </w:pPr>
          </w:p>
          <w:p w14:paraId="076DA74D" w14:textId="77777777" w:rsidR="00083264" w:rsidRPr="00C41218" w:rsidRDefault="00083264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41218">
              <w:rPr>
                <w:rFonts w:ascii="Arial" w:hAnsi="Arial" w:cs="Arial"/>
              </w:rPr>
              <w:t>Skilled at seeking and encouraging ideas, improvements and measured risk taking within own area and across the Council to deliver better approaches and services.</w:t>
            </w:r>
          </w:p>
          <w:p w14:paraId="14B7FB2F" w14:textId="77777777" w:rsidR="00083264" w:rsidRPr="00083264" w:rsidRDefault="00083264" w:rsidP="00253AF7">
            <w:pPr>
              <w:pStyle w:val="ListParagraph"/>
              <w:rPr>
                <w:rFonts w:ascii="Arial" w:hAnsi="Arial" w:cs="Arial"/>
              </w:rPr>
            </w:pPr>
          </w:p>
          <w:p w14:paraId="712BF51D" w14:textId="77777777" w:rsidR="00083264" w:rsidRPr="00C41218" w:rsidRDefault="00083264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41218">
              <w:rPr>
                <w:rFonts w:ascii="Arial" w:hAnsi="Arial" w:cs="Arial"/>
              </w:rPr>
              <w:t>Written &amp; verbal communication</w:t>
            </w:r>
            <w:r>
              <w:rPr>
                <w:rFonts w:ascii="Arial" w:hAnsi="Arial" w:cs="Arial"/>
              </w:rPr>
              <w:t xml:space="preserve"> skills</w:t>
            </w:r>
            <w:r w:rsidRPr="00C41218">
              <w:rPr>
                <w:rFonts w:ascii="Arial" w:hAnsi="Arial" w:cs="Arial"/>
              </w:rPr>
              <w:t>, with the proven ability to tailor the approach according to the audience when presenting to persuade and influence.</w:t>
            </w:r>
          </w:p>
          <w:p w14:paraId="3E675ED5" w14:textId="77777777" w:rsidR="00C36744" w:rsidRPr="006E42D4" w:rsidRDefault="00C36744" w:rsidP="00253AF7">
            <w:pPr>
              <w:pStyle w:val="ListParagraph"/>
              <w:ind w:left="563"/>
              <w:rPr>
                <w:rFonts w:ascii="Arial" w:hAnsi="Arial" w:cs="Arial"/>
              </w:rPr>
            </w:pPr>
          </w:p>
          <w:p w14:paraId="1EADF09D" w14:textId="77777777" w:rsidR="00F87BE7" w:rsidRPr="006E42D4" w:rsidRDefault="00F87BE7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2D4">
              <w:rPr>
                <w:rFonts w:ascii="Arial" w:hAnsi="Arial" w:cs="Arial"/>
              </w:rPr>
              <w:t xml:space="preserve">Positive </w:t>
            </w:r>
            <w:r w:rsidR="002C58A0">
              <w:rPr>
                <w:rFonts w:ascii="Arial" w:hAnsi="Arial" w:cs="Arial"/>
              </w:rPr>
              <w:t xml:space="preserve">and proactive </w:t>
            </w:r>
            <w:r w:rsidRPr="006E42D4">
              <w:rPr>
                <w:rFonts w:ascii="Arial" w:hAnsi="Arial" w:cs="Arial"/>
              </w:rPr>
              <w:t>attitude and the confidence to welcome challenge even if uncomfortable</w:t>
            </w:r>
            <w:r w:rsidR="00083264">
              <w:rPr>
                <w:rFonts w:ascii="Arial" w:hAnsi="Arial" w:cs="Arial"/>
              </w:rPr>
              <w:t xml:space="preserve"> </w:t>
            </w:r>
            <w:proofErr w:type="gramStart"/>
            <w:r w:rsidR="00083264">
              <w:rPr>
                <w:rFonts w:ascii="Arial" w:hAnsi="Arial" w:cs="Arial"/>
              </w:rPr>
              <w:t>so as to</w:t>
            </w:r>
            <w:proofErr w:type="gramEnd"/>
            <w:r w:rsidR="00083264">
              <w:rPr>
                <w:rFonts w:ascii="Arial" w:hAnsi="Arial" w:cs="Arial"/>
              </w:rPr>
              <w:t xml:space="preserve"> deliver results</w:t>
            </w:r>
            <w:r w:rsidRPr="006E42D4">
              <w:rPr>
                <w:rFonts w:ascii="Arial" w:hAnsi="Arial" w:cs="Arial"/>
              </w:rPr>
              <w:t xml:space="preserve">. </w:t>
            </w:r>
            <w:r w:rsidR="000221AA">
              <w:rPr>
                <w:rFonts w:ascii="Arial" w:hAnsi="Arial" w:cs="Arial"/>
              </w:rPr>
              <w:t>`</w:t>
            </w:r>
          </w:p>
          <w:p w14:paraId="11F48BB5" w14:textId="77777777" w:rsidR="00C36744" w:rsidRPr="006E42D4" w:rsidRDefault="00C36744" w:rsidP="00253AF7">
            <w:pPr>
              <w:pStyle w:val="ListParagraph"/>
              <w:ind w:left="563"/>
              <w:rPr>
                <w:rFonts w:ascii="Arial" w:hAnsi="Arial" w:cs="Arial"/>
              </w:rPr>
            </w:pPr>
          </w:p>
          <w:p w14:paraId="6DA05BF8" w14:textId="77777777" w:rsidR="00F87BE7" w:rsidRPr="006E42D4" w:rsidRDefault="00F87BE7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2D4">
              <w:rPr>
                <w:rFonts w:ascii="Arial" w:hAnsi="Arial" w:cs="Arial"/>
              </w:rPr>
              <w:t xml:space="preserve">Successful track record of developing and providing services which are effective at meeting customer needs and are cost efficient. </w:t>
            </w:r>
          </w:p>
          <w:p w14:paraId="3BF5224B" w14:textId="77777777" w:rsidR="004643DF" w:rsidRPr="006E42D4" w:rsidRDefault="004643DF" w:rsidP="00253AF7">
            <w:pPr>
              <w:pStyle w:val="ListParagraph"/>
              <w:rPr>
                <w:rFonts w:ascii="Arial" w:hAnsi="Arial" w:cs="Arial"/>
              </w:rPr>
            </w:pPr>
          </w:p>
          <w:p w14:paraId="463171FC" w14:textId="77777777" w:rsidR="004643DF" w:rsidRPr="00C36744" w:rsidRDefault="004643DF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E42D4">
              <w:rPr>
                <w:rFonts w:ascii="Arial" w:hAnsi="Arial" w:cs="Arial"/>
              </w:rPr>
              <w:t>Ability to manage strategic commercial relationships and delivery arrangements actively</w:t>
            </w:r>
            <w:r w:rsidRPr="00C36744">
              <w:rPr>
                <w:rFonts w:ascii="Arial" w:hAnsi="Arial" w:cs="Arial"/>
              </w:rPr>
              <w:t xml:space="preserve"> and effectively to provide ongoing value for money to the </w:t>
            </w:r>
            <w:proofErr w:type="gramStart"/>
            <w:r w:rsidRPr="00C36744">
              <w:rPr>
                <w:rFonts w:ascii="Arial" w:hAnsi="Arial" w:cs="Arial"/>
              </w:rPr>
              <w:t>tax payer</w:t>
            </w:r>
            <w:proofErr w:type="gramEnd"/>
            <w:r w:rsidR="00CB07CF">
              <w:rPr>
                <w:rFonts w:ascii="Arial" w:hAnsi="Arial" w:cs="Arial"/>
              </w:rPr>
              <w:t>.</w:t>
            </w:r>
          </w:p>
          <w:p w14:paraId="71EEA91C" w14:textId="77777777" w:rsidR="00E77A85" w:rsidRPr="00C36744" w:rsidRDefault="00E77A85" w:rsidP="00253AF7">
            <w:pPr>
              <w:pStyle w:val="ListParagraph"/>
              <w:rPr>
                <w:rFonts w:ascii="Arial" w:hAnsi="Arial" w:cs="Arial"/>
              </w:rPr>
            </w:pPr>
          </w:p>
          <w:p w14:paraId="6BDA8BD5" w14:textId="77777777" w:rsidR="004643DF" w:rsidRPr="00C36744" w:rsidRDefault="004643DF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36744">
              <w:rPr>
                <w:rFonts w:ascii="Arial" w:hAnsi="Arial" w:cs="Arial"/>
              </w:rPr>
              <w:lastRenderedPageBreak/>
              <w:t>Knowledge and proven experience of creating and maintaining a performance culture. This must include establishing improvement plans and performance measures, monitoring these and managing poor performance as appropriate, as well as recognising achievement</w:t>
            </w:r>
            <w:r w:rsidR="00CB07CF">
              <w:rPr>
                <w:rFonts w:ascii="Arial" w:hAnsi="Arial" w:cs="Arial"/>
              </w:rPr>
              <w:t>.</w:t>
            </w:r>
          </w:p>
          <w:p w14:paraId="3A33638A" w14:textId="77777777" w:rsidR="004643DF" w:rsidRPr="00C36744" w:rsidRDefault="004643DF" w:rsidP="00253AF7">
            <w:pPr>
              <w:pStyle w:val="ListParagraph"/>
              <w:rPr>
                <w:rFonts w:ascii="Arial" w:hAnsi="Arial" w:cs="Arial"/>
              </w:rPr>
            </w:pPr>
          </w:p>
          <w:p w14:paraId="607E7408" w14:textId="77777777" w:rsidR="00083264" w:rsidRDefault="00083264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41218">
              <w:rPr>
                <w:rFonts w:ascii="Arial" w:hAnsi="Arial" w:cs="Arial"/>
              </w:rPr>
              <w:t>Strong customer focus with track record of delivering customer satisfaction and a high-quality service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so as to</w:t>
            </w:r>
            <w:proofErr w:type="gramEnd"/>
            <w:r>
              <w:rPr>
                <w:rFonts w:ascii="Arial" w:hAnsi="Arial" w:cs="Arial"/>
              </w:rPr>
              <w:t xml:space="preserve"> support the Council deliver on its key outcomes</w:t>
            </w:r>
            <w:r w:rsidRPr="00C41218">
              <w:rPr>
                <w:rFonts w:ascii="Arial" w:hAnsi="Arial" w:cs="Arial"/>
              </w:rPr>
              <w:t xml:space="preserve">. </w:t>
            </w:r>
          </w:p>
          <w:p w14:paraId="6E363B02" w14:textId="77777777" w:rsidR="00083264" w:rsidRPr="00C41218" w:rsidRDefault="00083264" w:rsidP="00253AF7">
            <w:pPr>
              <w:pStyle w:val="ListParagraph"/>
              <w:rPr>
                <w:rFonts w:ascii="Arial" w:hAnsi="Arial" w:cs="Arial"/>
              </w:rPr>
            </w:pPr>
          </w:p>
          <w:p w14:paraId="3182AF58" w14:textId="77777777" w:rsidR="00083264" w:rsidRPr="00C41218" w:rsidRDefault="00083264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 management skills and the ability to challenge clients and change perceptions to achieve a positive outcome.</w:t>
            </w:r>
          </w:p>
          <w:p w14:paraId="7D8D80EE" w14:textId="77777777" w:rsidR="00083264" w:rsidRPr="00083264" w:rsidRDefault="00083264" w:rsidP="00253AF7">
            <w:pPr>
              <w:pStyle w:val="ListParagraph"/>
              <w:rPr>
                <w:rFonts w:ascii="Arial" w:hAnsi="Arial" w:cs="Arial"/>
              </w:rPr>
            </w:pPr>
          </w:p>
          <w:p w14:paraId="389832FB" w14:textId="77777777" w:rsidR="00083264" w:rsidRPr="00C41218" w:rsidRDefault="00083264" w:rsidP="00253A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41218">
              <w:rPr>
                <w:rFonts w:ascii="Arial" w:hAnsi="Arial" w:cs="Arial"/>
              </w:rPr>
              <w:t>Ability to manage strategic commercial relationships and delivery arrangements actively and effectively to provide ongoing value for money.</w:t>
            </w:r>
          </w:p>
          <w:p w14:paraId="41E89F39" w14:textId="77777777" w:rsidR="004643DF" w:rsidRPr="000221AA" w:rsidRDefault="004643DF" w:rsidP="000221AA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4643DF" w14:paraId="667729CD" w14:textId="77777777" w:rsidTr="00C4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540" w:type="dxa"/>
            <w:gridSpan w:val="2"/>
            <w:vAlign w:val="center"/>
          </w:tcPr>
          <w:p w14:paraId="3F3C7B36" w14:textId="77777777" w:rsidR="004643DF" w:rsidRPr="006E42D4" w:rsidRDefault="004643DF" w:rsidP="00253AF7">
            <w:pPr>
              <w:rPr>
                <w:rFonts w:ascii="Arial" w:hAnsi="Arial" w:cs="Arial"/>
                <w:bCs/>
                <w:szCs w:val="22"/>
                <w:shd w:val="pct10" w:color="auto" w:fill="auto"/>
              </w:rPr>
            </w:pPr>
            <w:r w:rsidRPr="006E42D4">
              <w:rPr>
                <w:rFonts w:ascii="Arial" w:hAnsi="Arial" w:cs="Arial"/>
                <w:b/>
                <w:szCs w:val="22"/>
              </w:rPr>
              <w:lastRenderedPageBreak/>
              <w:t>ESSENTIAL EXPERIENCE:</w:t>
            </w:r>
            <w:r w:rsidRPr="006E42D4">
              <w:rPr>
                <w:rFonts w:ascii="Arial" w:hAnsi="Arial" w:cs="Arial"/>
                <w:bCs/>
                <w:szCs w:val="22"/>
                <w:shd w:val="pct10" w:color="auto" w:fill="auto"/>
              </w:rPr>
              <w:t xml:space="preserve">  </w:t>
            </w:r>
          </w:p>
          <w:p w14:paraId="0E4F8BDB" w14:textId="77777777" w:rsidR="004643DF" w:rsidRPr="006E42D4" w:rsidRDefault="004643DF" w:rsidP="00253AF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bCs/>
                <w:szCs w:val="22"/>
              </w:rPr>
            </w:pPr>
            <w:r w:rsidRPr="006E42D4">
              <w:rPr>
                <w:rFonts w:ascii="Arial" w:hAnsi="Arial" w:cs="Arial"/>
                <w:bCs/>
              </w:rPr>
              <w:t>Experience of delivering cost reduction</w:t>
            </w:r>
            <w:r w:rsidR="00B26871" w:rsidRPr="006E42D4">
              <w:rPr>
                <w:rFonts w:ascii="Arial" w:hAnsi="Arial" w:cs="Arial"/>
                <w:bCs/>
              </w:rPr>
              <w:t xml:space="preserve">, service </w:t>
            </w:r>
            <w:r w:rsidR="00A82711" w:rsidRPr="006E42D4">
              <w:rPr>
                <w:rFonts w:ascii="Arial" w:hAnsi="Arial" w:cs="Arial"/>
                <w:bCs/>
              </w:rPr>
              <w:t>improvement</w:t>
            </w:r>
            <w:r w:rsidRPr="006E42D4">
              <w:rPr>
                <w:rFonts w:ascii="Arial" w:hAnsi="Arial" w:cs="Arial"/>
                <w:bCs/>
              </w:rPr>
              <w:t xml:space="preserve"> and cashable savings </w:t>
            </w:r>
            <w:r w:rsidR="00D06A34" w:rsidRPr="006E42D4">
              <w:rPr>
                <w:rFonts w:ascii="Arial" w:hAnsi="Arial" w:cs="Arial"/>
                <w:bCs/>
              </w:rPr>
              <w:t>using</w:t>
            </w:r>
            <w:r w:rsidRPr="006E42D4">
              <w:rPr>
                <w:rFonts w:ascii="Arial" w:hAnsi="Arial" w:cs="Arial"/>
                <w:bCs/>
              </w:rPr>
              <w:t xml:space="preserve"> appropriate </w:t>
            </w:r>
            <w:r w:rsidR="00B26871" w:rsidRPr="006E42D4">
              <w:rPr>
                <w:rFonts w:ascii="Arial" w:hAnsi="Arial" w:cs="Arial"/>
                <w:bCs/>
              </w:rPr>
              <w:t xml:space="preserve">commercial, financial, supplier relationship management, </w:t>
            </w:r>
            <w:r w:rsidRPr="006E42D4">
              <w:rPr>
                <w:rFonts w:ascii="Arial" w:hAnsi="Arial" w:cs="Arial"/>
                <w:bCs/>
              </w:rPr>
              <w:t>contract management tools and techniques. Experience must be within a comparable remit and function of the role.</w:t>
            </w:r>
          </w:p>
          <w:p w14:paraId="1CB4FDBE" w14:textId="77777777" w:rsidR="004643DF" w:rsidRPr="00EC6C81" w:rsidRDefault="004643DF" w:rsidP="00253AF7">
            <w:pPr>
              <w:rPr>
                <w:rFonts w:ascii="Arial" w:hAnsi="Arial" w:cs="Arial"/>
              </w:rPr>
            </w:pPr>
          </w:p>
        </w:tc>
      </w:tr>
      <w:tr w:rsidR="004643DF" w14:paraId="238E4461" w14:textId="77777777" w:rsidTr="008E6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9540" w:type="dxa"/>
            <w:gridSpan w:val="2"/>
            <w:vAlign w:val="center"/>
          </w:tcPr>
          <w:p w14:paraId="048B9E21" w14:textId="77777777" w:rsidR="004643DF" w:rsidRPr="008E6F60" w:rsidRDefault="004643DF" w:rsidP="00253AF7">
            <w:pPr>
              <w:pStyle w:val="Heading2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ESSENTIAL QUALIFICATION</w:t>
            </w:r>
            <w:r w:rsidRPr="008E6F60">
              <w:rPr>
                <w:szCs w:val="22"/>
              </w:rPr>
              <w:t>(S):</w:t>
            </w:r>
          </w:p>
          <w:p w14:paraId="7B3E06BE" w14:textId="77777777" w:rsidR="00784ABF" w:rsidRDefault="00784ABF" w:rsidP="00253A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84ABF">
              <w:rPr>
                <w:rFonts w:ascii="Arial" w:hAnsi="Arial" w:cs="Arial"/>
              </w:rPr>
              <w:t>Equivalent private</w:t>
            </w:r>
            <w:r>
              <w:rPr>
                <w:rFonts w:ascii="Arial" w:hAnsi="Arial" w:cs="Arial"/>
              </w:rPr>
              <w:t xml:space="preserve"> / public</w:t>
            </w:r>
            <w:r w:rsidRPr="00784ABF">
              <w:rPr>
                <w:rFonts w:ascii="Arial" w:hAnsi="Arial" w:cs="Arial"/>
              </w:rPr>
              <w:t xml:space="preserve"> sector experience.</w:t>
            </w:r>
          </w:p>
          <w:p w14:paraId="15958E0E" w14:textId="77777777" w:rsidR="00784ABF" w:rsidRDefault="00784ABF" w:rsidP="00253AF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5775946" w14:textId="77777777" w:rsidR="00784ABF" w:rsidRPr="00784ABF" w:rsidRDefault="004643DF" w:rsidP="00253AF7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784ABF">
              <w:rPr>
                <w:rFonts w:ascii="Arial" w:hAnsi="Arial"/>
              </w:rPr>
              <w:t>Educated to degree / postgraduate level or equivalent, or</w:t>
            </w:r>
            <w:r w:rsidR="00784ABF">
              <w:rPr>
                <w:rFonts w:ascii="Arial" w:hAnsi="Arial"/>
              </w:rPr>
              <w:t xml:space="preserve"> e</w:t>
            </w:r>
            <w:r w:rsidRPr="00784ABF">
              <w:rPr>
                <w:rFonts w:ascii="Arial" w:hAnsi="Arial"/>
              </w:rPr>
              <w:t>vidence of continuous professional development and relevant management training/management development</w:t>
            </w:r>
            <w:r w:rsidR="00784ABF" w:rsidRPr="00784ABF">
              <w:rPr>
                <w:rFonts w:ascii="Arial" w:hAnsi="Arial"/>
              </w:rPr>
              <w:t>.</w:t>
            </w:r>
          </w:p>
          <w:p w14:paraId="6EA89005" w14:textId="77777777" w:rsidR="00784ABF" w:rsidRDefault="00784ABF" w:rsidP="00253AF7">
            <w:pPr>
              <w:pStyle w:val="ListParagraph"/>
            </w:pPr>
          </w:p>
          <w:p w14:paraId="53A9F57E" w14:textId="77777777" w:rsidR="00784ABF" w:rsidRPr="004A421C" w:rsidRDefault="00253AF7" w:rsidP="00253AF7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hyperlink r:id="rId7" w:history="1">
              <w:r w:rsidR="00784ABF" w:rsidRPr="00784ABF">
                <w:rPr>
                  <w:rStyle w:val="Hyperlink"/>
                  <w:rFonts w:ascii="Arial" w:hAnsi="Arial" w:cs="Arial"/>
                  <w:bCs/>
                  <w:color w:val="auto"/>
                  <w:lang w:val="en"/>
                </w:rPr>
                <w:t xml:space="preserve">International Association for Contract and Commercial Management / </w:t>
              </w:r>
            </w:hyperlink>
            <w:r w:rsidR="00784ABF" w:rsidRPr="00784ABF">
              <w:rPr>
                <w:rFonts w:ascii="Arial" w:hAnsi="Arial" w:cs="Arial"/>
                <w:bCs/>
              </w:rPr>
              <w:t xml:space="preserve">Full membership of the Charted Institute of Purchasing and Supply </w:t>
            </w:r>
            <w:r w:rsidR="004A421C">
              <w:rPr>
                <w:rFonts w:ascii="Arial" w:hAnsi="Arial" w:cs="Arial"/>
                <w:bCs/>
              </w:rPr>
              <w:t>via a studied qualification route (or able to demonstrate willingness to achieve to an agreed timescale).</w:t>
            </w:r>
          </w:p>
          <w:p w14:paraId="3A3BCF58" w14:textId="77777777" w:rsidR="00784ABF" w:rsidRPr="008E6F60" w:rsidRDefault="00784ABF" w:rsidP="00253AF7">
            <w:pPr>
              <w:rPr>
                <w:rFonts w:ascii="Arial" w:hAnsi="Arial" w:cs="Arial"/>
                <w:bCs/>
              </w:rPr>
            </w:pPr>
          </w:p>
        </w:tc>
      </w:tr>
    </w:tbl>
    <w:p w14:paraId="23E1F5D0" w14:textId="77777777" w:rsidR="00F5047B" w:rsidRDefault="00F5047B">
      <w:pPr>
        <w:jc w:val="center"/>
        <w:rPr>
          <w:rFonts w:ascii="Arial" w:hAnsi="Arial" w:cs="Arial"/>
          <w:b/>
          <w:sz w:val="20"/>
        </w:rPr>
      </w:pPr>
    </w:p>
    <w:p w14:paraId="7E7E37ED" w14:textId="4B3488AA" w:rsidR="00253AF7" w:rsidRDefault="00253AF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96BCE7B" w14:textId="77777777" w:rsidR="00253AF7" w:rsidRDefault="00253AF7">
      <w:pPr>
        <w:jc w:val="center"/>
        <w:rPr>
          <w:rFonts w:ascii="Arial" w:hAnsi="Arial" w:cs="Arial"/>
          <w:b/>
          <w:sz w:val="20"/>
        </w:rPr>
      </w:pPr>
    </w:p>
    <w:p w14:paraId="472EC81F" w14:textId="77777777" w:rsidR="00D36496" w:rsidRDefault="00D36496" w:rsidP="00D36496">
      <w:pPr>
        <w:jc w:val="center"/>
        <w:rPr>
          <w:rFonts w:ascii="Arial" w:hAnsi="Arial" w:cs="Arial"/>
          <w:b/>
          <w:bCs/>
          <w:noProof/>
        </w:rPr>
      </w:pPr>
    </w:p>
    <w:p w14:paraId="68C034F6" w14:textId="77777777" w:rsidR="00D36496" w:rsidRDefault="00D36496" w:rsidP="00D36496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Values &amp; Behaviours</w:t>
      </w:r>
    </w:p>
    <w:p w14:paraId="30BCAA31" w14:textId="77777777" w:rsidR="00D36496" w:rsidRDefault="00D36496" w:rsidP="00D36496">
      <w:pPr>
        <w:jc w:val="center"/>
        <w:rPr>
          <w:rFonts w:ascii="Arial" w:hAnsi="Arial" w:cs="Arial"/>
          <w:b/>
          <w:bCs/>
          <w:noProof/>
        </w:rPr>
      </w:pPr>
    </w:p>
    <w:p w14:paraId="50D9F80F" w14:textId="77777777" w:rsidR="00D36496" w:rsidRDefault="00D36496" w:rsidP="00D36496">
      <w:pPr>
        <w:jc w:val="center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6B0C54E1" wp14:editId="53211BDF">
            <wp:extent cx="6743065" cy="4438650"/>
            <wp:effectExtent l="0" t="0" r="63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449E" w14:textId="77777777" w:rsidR="00F5047B" w:rsidRDefault="00F5047B" w:rsidP="00B63FED"/>
    <w:sectPr w:rsidR="00F5047B">
      <w:headerReference w:type="default" r:id="rId9"/>
      <w:footerReference w:type="default" r:id="rId10"/>
      <w:pgSz w:w="11906" w:h="16838"/>
      <w:pgMar w:top="1440" w:right="566" w:bottom="107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2F22" w14:textId="77777777" w:rsidR="00EA7987" w:rsidRDefault="00EA7987" w:rsidP="00F5047B">
      <w:pPr>
        <w:pStyle w:val="BodyText3"/>
      </w:pPr>
      <w:r>
        <w:separator/>
      </w:r>
    </w:p>
  </w:endnote>
  <w:endnote w:type="continuationSeparator" w:id="0">
    <w:p w14:paraId="0DD1D721" w14:textId="77777777" w:rsidR="00EA7987" w:rsidRDefault="00EA7987" w:rsidP="00F5047B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45 Light">
    <w:altName w:val="Helvetica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68B2" w14:textId="2C5267EF" w:rsidR="00B93EA6" w:rsidRPr="00AA6593" w:rsidRDefault="00AA6593">
    <w:pPr>
      <w:pStyle w:val="Footer"/>
      <w:rPr>
        <w:rFonts w:ascii="Arial" w:hAnsi="Arial" w:cs="Arial"/>
        <w:sz w:val="18"/>
        <w:szCs w:val="18"/>
      </w:rPr>
    </w:pPr>
    <w:r w:rsidRPr="00AA6593">
      <w:rPr>
        <w:rFonts w:ascii="Arial" w:hAnsi="Arial" w:cs="Arial"/>
        <w:sz w:val="18"/>
        <w:szCs w:val="18"/>
      </w:rPr>
      <w:t xml:space="preserve">Final </w:t>
    </w:r>
    <w:r w:rsidR="00841C3A">
      <w:rPr>
        <w:rFonts w:ascii="Arial" w:hAnsi="Arial" w:cs="Arial"/>
        <w:sz w:val="18"/>
        <w:szCs w:val="18"/>
      </w:rPr>
      <w:t>08/04</w:t>
    </w:r>
    <w:r w:rsidR="002F28C8">
      <w:rPr>
        <w:rFonts w:ascii="Arial" w:hAnsi="Arial" w:cs="Arial"/>
        <w:sz w:val="18"/>
        <w:szCs w:val="18"/>
      </w:rPr>
      <w:t>/2022</w:t>
    </w:r>
    <w:r w:rsidRPr="00AA6593">
      <w:rPr>
        <w:rFonts w:ascii="Arial" w:hAnsi="Arial" w:cs="Arial"/>
        <w:sz w:val="18"/>
        <w:szCs w:val="18"/>
      </w:rPr>
      <w:t xml:space="preserve"> JE0418</w:t>
    </w:r>
    <w:r w:rsidR="00995151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</w:t>
    </w:r>
    <w:proofErr w:type="gramStart"/>
    <w:r>
      <w:rPr>
        <w:rFonts w:ascii="Arial" w:hAnsi="Arial" w:cs="Arial"/>
        <w:sz w:val="18"/>
        <w:szCs w:val="18"/>
      </w:rPr>
      <w:t xml:space="preserve">- </w:t>
    </w:r>
    <w:r w:rsidRPr="00AA6593">
      <w:rPr>
        <w:rFonts w:ascii="Arial" w:hAnsi="Arial" w:cs="Arial"/>
        <w:sz w:val="18"/>
        <w:szCs w:val="18"/>
      </w:rPr>
      <w:t xml:space="preserve"> Commercial</w:t>
    </w:r>
    <w:proofErr w:type="gramEnd"/>
    <w:r w:rsidRPr="00AA6593">
      <w:rPr>
        <w:rFonts w:ascii="Arial" w:hAnsi="Arial" w:cs="Arial"/>
        <w:sz w:val="18"/>
        <w:szCs w:val="18"/>
      </w:rPr>
      <w:t xml:space="preserve"> Manager – Commercial Hub – Finance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0A81" w14:textId="77777777" w:rsidR="00EA7987" w:rsidRDefault="00EA7987" w:rsidP="00F5047B">
      <w:pPr>
        <w:pStyle w:val="BodyText3"/>
      </w:pPr>
      <w:r>
        <w:separator/>
      </w:r>
    </w:p>
  </w:footnote>
  <w:footnote w:type="continuationSeparator" w:id="0">
    <w:p w14:paraId="70E2244D" w14:textId="77777777" w:rsidR="00EA7987" w:rsidRDefault="00EA7987" w:rsidP="00F5047B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5F77" w14:textId="77777777" w:rsidR="00B93EA6" w:rsidRDefault="00377B3F">
    <w:pPr>
      <w:pStyle w:val="Header"/>
      <w:rPr>
        <w:rFonts w:ascii="Arial" w:hAnsi="Arial" w:cs="Arial"/>
      </w:rPr>
    </w:pPr>
    <w:r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7728" behindDoc="0" locked="1" layoutInCell="1" allowOverlap="1" wp14:anchorId="7EE73987" wp14:editId="0796DA4C">
          <wp:simplePos x="0" y="0"/>
          <wp:positionH relativeFrom="page">
            <wp:posOffset>3086100</wp:posOffset>
          </wp:positionH>
          <wp:positionV relativeFrom="page">
            <wp:posOffset>114300</wp:posOffset>
          </wp:positionV>
          <wp:extent cx="1219200" cy="669925"/>
          <wp:effectExtent l="0" t="0" r="0" b="0"/>
          <wp:wrapSquare wrapText="bothSides"/>
          <wp:docPr id="1" name="Picture 1" descr="logocol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35B"/>
    <w:multiLevelType w:val="hybridMultilevel"/>
    <w:tmpl w:val="DB9ED6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306FE"/>
    <w:multiLevelType w:val="hybridMultilevel"/>
    <w:tmpl w:val="E4BCC4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A7BB4"/>
    <w:multiLevelType w:val="hybridMultilevel"/>
    <w:tmpl w:val="E1AE8B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70E72"/>
    <w:multiLevelType w:val="hybridMultilevel"/>
    <w:tmpl w:val="CB42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30AC"/>
    <w:multiLevelType w:val="hybridMultilevel"/>
    <w:tmpl w:val="E6387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32E72"/>
    <w:multiLevelType w:val="hybridMultilevel"/>
    <w:tmpl w:val="2BA0F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7B77"/>
    <w:multiLevelType w:val="hybridMultilevel"/>
    <w:tmpl w:val="023AB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A1904"/>
    <w:multiLevelType w:val="hybridMultilevel"/>
    <w:tmpl w:val="A4FC0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AC2803"/>
    <w:multiLevelType w:val="hybridMultilevel"/>
    <w:tmpl w:val="714CCED6"/>
    <w:lvl w:ilvl="0" w:tplc="04090001">
      <w:start w:val="1"/>
      <w:numFmt w:val="bullet"/>
      <w:lvlText w:val=""/>
      <w:lvlJc w:val="left"/>
      <w:pPr>
        <w:tabs>
          <w:tab w:val="num" w:pos="563"/>
        </w:tabs>
        <w:ind w:left="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3"/>
        </w:tabs>
        <w:ind w:left="1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3"/>
        </w:tabs>
        <w:ind w:left="2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3"/>
        </w:tabs>
        <w:ind w:left="2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3"/>
        </w:tabs>
        <w:ind w:left="3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3"/>
        </w:tabs>
        <w:ind w:left="4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3"/>
        </w:tabs>
        <w:ind w:left="4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3"/>
        </w:tabs>
        <w:ind w:left="5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3"/>
        </w:tabs>
        <w:ind w:left="6323" w:hanging="360"/>
      </w:pPr>
      <w:rPr>
        <w:rFonts w:ascii="Wingdings" w:hAnsi="Wingdings" w:hint="default"/>
      </w:rPr>
    </w:lvl>
  </w:abstractNum>
  <w:abstractNum w:abstractNumId="9" w15:restartNumberingAfterBreak="0">
    <w:nsid w:val="6F2B14A2"/>
    <w:multiLevelType w:val="hybridMultilevel"/>
    <w:tmpl w:val="5DE2FC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DF48E1"/>
    <w:multiLevelType w:val="hybridMultilevel"/>
    <w:tmpl w:val="51B89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42033"/>
    <w:multiLevelType w:val="hybridMultilevel"/>
    <w:tmpl w:val="F52AD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F2"/>
    <w:rsid w:val="000008AA"/>
    <w:rsid w:val="000221AA"/>
    <w:rsid w:val="00037577"/>
    <w:rsid w:val="00076034"/>
    <w:rsid w:val="00083264"/>
    <w:rsid w:val="0008647D"/>
    <w:rsid w:val="00095DB6"/>
    <w:rsid w:val="000B751E"/>
    <w:rsid w:val="000B7721"/>
    <w:rsid w:val="00107354"/>
    <w:rsid w:val="00124C97"/>
    <w:rsid w:val="001507A2"/>
    <w:rsid w:val="00173489"/>
    <w:rsid w:val="0017358A"/>
    <w:rsid w:val="00186B6F"/>
    <w:rsid w:val="00192918"/>
    <w:rsid w:val="001930AE"/>
    <w:rsid w:val="001B6C7A"/>
    <w:rsid w:val="001C3B6F"/>
    <w:rsid w:val="001C6D5D"/>
    <w:rsid w:val="001D3D75"/>
    <w:rsid w:val="001E5B85"/>
    <w:rsid w:val="00200C4F"/>
    <w:rsid w:val="002035F6"/>
    <w:rsid w:val="00205D7C"/>
    <w:rsid w:val="00235329"/>
    <w:rsid w:val="00253AF7"/>
    <w:rsid w:val="00273D37"/>
    <w:rsid w:val="00293D1F"/>
    <w:rsid w:val="00295176"/>
    <w:rsid w:val="002B71B9"/>
    <w:rsid w:val="002C58A0"/>
    <w:rsid w:val="002F28C8"/>
    <w:rsid w:val="00337CF5"/>
    <w:rsid w:val="00377B3F"/>
    <w:rsid w:val="003E42F1"/>
    <w:rsid w:val="003E62BC"/>
    <w:rsid w:val="00407B10"/>
    <w:rsid w:val="0044019B"/>
    <w:rsid w:val="0044032E"/>
    <w:rsid w:val="0046382B"/>
    <w:rsid w:val="004643DF"/>
    <w:rsid w:val="004677AF"/>
    <w:rsid w:val="004761C7"/>
    <w:rsid w:val="004A421C"/>
    <w:rsid w:val="004C24A2"/>
    <w:rsid w:val="004D3241"/>
    <w:rsid w:val="004F20F7"/>
    <w:rsid w:val="00502C85"/>
    <w:rsid w:val="005177A4"/>
    <w:rsid w:val="005D185C"/>
    <w:rsid w:val="0063138A"/>
    <w:rsid w:val="00667396"/>
    <w:rsid w:val="0067247F"/>
    <w:rsid w:val="00682F1A"/>
    <w:rsid w:val="00687C40"/>
    <w:rsid w:val="006B2118"/>
    <w:rsid w:val="006D72D3"/>
    <w:rsid w:val="006E42D4"/>
    <w:rsid w:val="006E5532"/>
    <w:rsid w:val="00700EC3"/>
    <w:rsid w:val="00715E8F"/>
    <w:rsid w:val="00726148"/>
    <w:rsid w:val="00726DDD"/>
    <w:rsid w:val="007467C2"/>
    <w:rsid w:val="007471B5"/>
    <w:rsid w:val="0075261A"/>
    <w:rsid w:val="0076575A"/>
    <w:rsid w:val="00782020"/>
    <w:rsid w:val="00784ABF"/>
    <w:rsid w:val="007866C6"/>
    <w:rsid w:val="007A01E7"/>
    <w:rsid w:val="007D00F6"/>
    <w:rsid w:val="007D4821"/>
    <w:rsid w:val="007F2F4A"/>
    <w:rsid w:val="007F340B"/>
    <w:rsid w:val="008023B2"/>
    <w:rsid w:val="008259D9"/>
    <w:rsid w:val="00835CE8"/>
    <w:rsid w:val="00841C3A"/>
    <w:rsid w:val="00860A8A"/>
    <w:rsid w:val="00876C04"/>
    <w:rsid w:val="0089760A"/>
    <w:rsid w:val="008A12E8"/>
    <w:rsid w:val="008A57F0"/>
    <w:rsid w:val="008E6F60"/>
    <w:rsid w:val="009112F2"/>
    <w:rsid w:val="00950AB0"/>
    <w:rsid w:val="0096059B"/>
    <w:rsid w:val="0097104A"/>
    <w:rsid w:val="00975914"/>
    <w:rsid w:val="00976413"/>
    <w:rsid w:val="009814CE"/>
    <w:rsid w:val="00984BD7"/>
    <w:rsid w:val="00995151"/>
    <w:rsid w:val="009A54FA"/>
    <w:rsid w:val="009D6108"/>
    <w:rsid w:val="009D7432"/>
    <w:rsid w:val="00A031E5"/>
    <w:rsid w:val="00A60761"/>
    <w:rsid w:val="00A82711"/>
    <w:rsid w:val="00AA2DAB"/>
    <w:rsid w:val="00AA5C25"/>
    <w:rsid w:val="00AA6593"/>
    <w:rsid w:val="00AC338C"/>
    <w:rsid w:val="00AD02BB"/>
    <w:rsid w:val="00B05D06"/>
    <w:rsid w:val="00B1694D"/>
    <w:rsid w:val="00B17DB3"/>
    <w:rsid w:val="00B215A6"/>
    <w:rsid w:val="00B26871"/>
    <w:rsid w:val="00B62B04"/>
    <w:rsid w:val="00B63FED"/>
    <w:rsid w:val="00B93EA6"/>
    <w:rsid w:val="00BF5555"/>
    <w:rsid w:val="00C03E7C"/>
    <w:rsid w:val="00C04EBB"/>
    <w:rsid w:val="00C2164B"/>
    <w:rsid w:val="00C217A7"/>
    <w:rsid w:val="00C265A8"/>
    <w:rsid w:val="00C36744"/>
    <w:rsid w:val="00C43A65"/>
    <w:rsid w:val="00C6374A"/>
    <w:rsid w:val="00CA0417"/>
    <w:rsid w:val="00CA1C29"/>
    <w:rsid w:val="00CB07CF"/>
    <w:rsid w:val="00CC3828"/>
    <w:rsid w:val="00CD225A"/>
    <w:rsid w:val="00CE53C3"/>
    <w:rsid w:val="00CF5C62"/>
    <w:rsid w:val="00D06A34"/>
    <w:rsid w:val="00D25945"/>
    <w:rsid w:val="00D36496"/>
    <w:rsid w:val="00DA0CBA"/>
    <w:rsid w:val="00DD0589"/>
    <w:rsid w:val="00E302C1"/>
    <w:rsid w:val="00E34882"/>
    <w:rsid w:val="00E75B44"/>
    <w:rsid w:val="00E77A85"/>
    <w:rsid w:val="00E91B19"/>
    <w:rsid w:val="00EA3D87"/>
    <w:rsid w:val="00EA7987"/>
    <w:rsid w:val="00EC34BA"/>
    <w:rsid w:val="00EC6C81"/>
    <w:rsid w:val="00ED3D21"/>
    <w:rsid w:val="00ED6251"/>
    <w:rsid w:val="00EE7D97"/>
    <w:rsid w:val="00F15CAB"/>
    <w:rsid w:val="00F5047B"/>
    <w:rsid w:val="00F86EE9"/>
    <w:rsid w:val="00F87BE7"/>
    <w:rsid w:val="00FB1561"/>
    <w:rsid w:val="00FC14C2"/>
    <w:rsid w:val="00FD5FAC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53F1D"/>
  <w15:docId w15:val="{8EA61ECD-BFC9-4FC7-B05F-062CBE8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620"/>
      </w:tabs>
      <w:ind w:right="540"/>
      <w:jc w:val="center"/>
      <w:outlineLvl w:val="2"/>
    </w:pPr>
    <w:rPr>
      <w:rFonts w:ascii="Arial" w:hAnsi="Arial" w:cs="Arial"/>
      <w:b/>
      <w:bCs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8000"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540"/>
      <w:jc w:val="center"/>
    </w:pPr>
    <w:rPr>
      <w:rFonts w:ascii="Arial" w:hAnsi="Arial"/>
      <w:b/>
      <w:color w:val="008000"/>
    </w:rPr>
  </w:style>
  <w:style w:type="paragraph" w:styleId="BodyText3">
    <w:name w:val="Body Text 3"/>
    <w:basedOn w:val="Normal"/>
    <w:rPr>
      <w:rFonts w:ascii="Arial" w:hAnsi="Arial" w:cs="Arial"/>
      <w:bCs/>
      <w:i/>
      <w:iCs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paragraph" w:styleId="BodyText">
    <w:name w:val="Body Text"/>
    <w:basedOn w:val="Normal"/>
    <w:pPr>
      <w:ind w:right="-334"/>
    </w:pPr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 LT 45 Light" w:hAnsi="Helvetica LT 45 Light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93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3E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List Paragraph1,Dot pt"/>
    <w:basedOn w:val="Normal"/>
    <w:link w:val="ListParagraphChar"/>
    <w:qFormat/>
    <w:rsid w:val="00DD0589"/>
    <w:pPr>
      <w:ind w:left="720"/>
      <w:contextualSpacing/>
    </w:pPr>
  </w:style>
  <w:style w:type="character" w:customStyle="1" w:styleId="ListParagraphChar">
    <w:name w:val="List Paragraph Char"/>
    <w:aliases w:val="List Paragraph1 Char,Dot pt Char"/>
    <w:link w:val="ListParagraph"/>
    <w:locked/>
    <w:rsid w:val="00835CE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26871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783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07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acc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1248</Words>
  <Characters>8061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London Borough of Ealing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London Borough of Ealing</dc:creator>
  <cp:lastModifiedBy>Sabrina Joseph</cp:lastModifiedBy>
  <cp:revision>2</cp:revision>
  <dcterms:created xsi:type="dcterms:W3CDTF">2022-05-06T12:20:00Z</dcterms:created>
  <dcterms:modified xsi:type="dcterms:W3CDTF">2022-05-06T12:20:00Z</dcterms:modified>
</cp:coreProperties>
</file>